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4C240" w14:textId="77777777" w:rsidR="004F7094" w:rsidRDefault="00850FA1">
      <w:pPr>
        <w:widowControl w:val="0"/>
        <w:spacing w:line="240" w:lineRule="auto"/>
        <w:ind w:left="28"/>
        <w:jc w:val="center"/>
        <w:rPr>
          <w:rFonts w:ascii="Noto Sans Symbols" w:eastAsia="Noto Sans Symbols" w:hAnsi="Noto Sans Symbols" w:cs="Noto Sans Symbols"/>
          <w:sz w:val="20"/>
          <w:szCs w:val="20"/>
        </w:rPr>
      </w:pPr>
      <w:r>
        <w:rPr>
          <w:noProof/>
        </w:rPr>
        <w:drawing>
          <wp:inline distT="19050" distB="19050" distL="19050" distR="19050" wp14:anchorId="2A8E86A0" wp14:editId="38CF838A">
            <wp:extent cx="1320963" cy="1320963"/>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1320963" cy="1320963"/>
                    </a:xfrm>
                    <a:prstGeom prst="rect">
                      <a:avLst/>
                    </a:prstGeom>
                    <a:ln/>
                  </pic:spPr>
                </pic:pic>
              </a:graphicData>
            </a:graphic>
          </wp:inline>
        </w:drawing>
      </w:r>
      <w:r>
        <w:t>◆</w:t>
      </w:r>
      <w:r>
        <w:rPr>
          <w:sz w:val="20"/>
          <w:szCs w:val="20"/>
        </w:rPr>
        <w:t>2024</w:t>
      </w:r>
      <w:r>
        <w:rPr>
          <w:rFonts w:ascii="Noto Sans Symbols" w:eastAsia="Noto Sans Symbols" w:hAnsi="Noto Sans Symbols" w:cs="Noto Sans Symbols"/>
          <w:sz w:val="20"/>
          <w:szCs w:val="20"/>
        </w:rPr>
        <w:t xml:space="preserve">◆ </w:t>
      </w:r>
      <w:r>
        <w:rPr>
          <w:noProof/>
        </w:rPr>
        <w:drawing>
          <wp:inline distT="19050" distB="19050" distL="19050" distR="19050" wp14:anchorId="0BF60FB1" wp14:editId="79C4A282">
            <wp:extent cx="1285875" cy="13335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85875" cy="1333500"/>
                    </a:xfrm>
                    <a:prstGeom prst="rect">
                      <a:avLst/>
                    </a:prstGeom>
                    <a:ln/>
                  </pic:spPr>
                </pic:pic>
              </a:graphicData>
            </a:graphic>
          </wp:inline>
        </w:drawing>
      </w:r>
    </w:p>
    <w:p w14:paraId="570CF0B5" w14:textId="77777777" w:rsidR="004F7094" w:rsidRDefault="00850FA1">
      <w:pPr>
        <w:widowControl w:val="0"/>
        <w:spacing w:before="181" w:line="234" w:lineRule="auto"/>
        <w:ind w:left="43" w:right="95"/>
        <w:jc w:val="center"/>
        <w:rPr>
          <w:rFonts w:ascii="Noto Sans Symbols" w:eastAsia="Noto Sans Symbols" w:hAnsi="Noto Sans Symbols" w:cs="Noto Sans Symbols"/>
          <w:sz w:val="20"/>
          <w:szCs w:val="20"/>
        </w:rPr>
      </w:pPr>
      <w:r>
        <w:rPr>
          <w:rFonts w:ascii="Noto Sans Symbols" w:eastAsia="Noto Sans Symbols" w:hAnsi="Noto Sans Symbols" w:cs="Noto Sans Symbols"/>
          <w:noProof/>
          <w:sz w:val="20"/>
          <w:szCs w:val="20"/>
        </w:rPr>
        <w:drawing>
          <wp:inline distT="19050" distB="19050" distL="19050" distR="19050" wp14:anchorId="079B51B0" wp14:editId="6C99752C">
            <wp:extent cx="5943600" cy="4953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943600" cy="495300"/>
                    </a:xfrm>
                    <a:prstGeom prst="rect">
                      <a:avLst/>
                    </a:prstGeom>
                    <a:ln/>
                  </pic:spPr>
                </pic:pic>
              </a:graphicData>
            </a:graphic>
          </wp:inline>
        </w:drawing>
      </w:r>
      <w:r>
        <w:rPr>
          <w:rFonts w:ascii="Noto Sans Symbols" w:eastAsia="Noto Sans Symbols" w:hAnsi="Noto Sans Symbols" w:cs="Noto Sans Symbols"/>
          <w:noProof/>
          <w:sz w:val="20"/>
          <w:szCs w:val="20"/>
        </w:rPr>
        <w:drawing>
          <wp:inline distT="19050" distB="19050" distL="19050" distR="19050" wp14:anchorId="56310794" wp14:editId="31FC9681">
            <wp:extent cx="966788" cy="99984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966788" cy="999840"/>
                    </a:xfrm>
                    <a:prstGeom prst="rect">
                      <a:avLst/>
                    </a:prstGeom>
                    <a:ln/>
                  </pic:spPr>
                </pic:pic>
              </a:graphicData>
            </a:graphic>
          </wp:inline>
        </w:drawing>
      </w:r>
    </w:p>
    <w:p w14:paraId="267B3954" w14:textId="77777777" w:rsidR="004F7094" w:rsidRDefault="00850FA1">
      <w:pPr>
        <w:widowControl w:val="0"/>
        <w:spacing w:before="28" w:line="240" w:lineRule="auto"/>
        <w:jc w:val="center"/>
        <w:rPr>
          <w:rFonts w:ascii="Verdana" w:eastAsia="Verdana" w:hAnsi="Verdana" w:cs="Verdana"/>
          <w:sz w:val="43"/>
          <w:szCs w:val="43"/>
        </w:rPr>
      </w:pPr>
      <w:r>
        <w:rPr>
          <w:rFonts w:ascii="Verdana" w:eastAsia="Verdana" w:hAnsi="Verdana" w:cs="Verdana"/>
          <w:b/>
          <w:sz w:val="43"/>
          <w:szCs w:val="43"/>
        </w:rPr>
        <w:t xml:space="preserve">AMC3 HANDBOOK </w:t>
      </w:r>
      <w:r>
        <w:rPr>
          <w:rFonts w:ascii="Verdana" w:eastAsia="Verdana" w:hAnsi="Verdana" w:cs="Verdana"/>
          <w:sz w:val="43"/>
          <w:szCs w:val="43"/>
        </w:rPr>
        <w:t>2024</w:t>
      </w:r>
    </w:p>
    <w:p w14:paraId="605322BB" w14:textId="77777777" w:rsidR="004F7094" w:rsidRDefault="00850FA1">
      <w:pPr>
        <w:widowControl w:val="0"/>
        <w:ind w:left="1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Program Overview 1 </w:t>
      </w:r>
    </w:p>
    <w:p w14:paraId="70684A41" w14:textId="77777777" w:rsidR="004F7094" w:rsidRDefault="00850FA1">
      <w:pPr>
        <w:widowControl w:val="0"/>
        <w:ind w:left="1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Summary of the Problem 5 </w:t>
      </w:r>
    </w:p>
    <w:p w14:paraId="6BF59626" w14:textId="77777777" w:rsidR="004F7094" w:rsidRDefault="00850FA1">
      <w:pPr>
        <w:widowControl w:val="0"/>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Rules 6 </w:t>
      </w:r>
    </w:p>
    <w:p w14:paraId="478E176E" w14:textId="77777777" w:rsidR="004F7094" w:rsidRDefault="00850FA1">
      <w:pPr>
        <w:widowControl w:val="0"/>
        <w:ind w:left="38"/>
        <w:rPr>
          <w:rFonts w:ascii="Times New Roman" w:eastAsia="Times New Roman" w:hAnsi="Times New Roman" w:cs="Times New Roman"/>
          <w:sz w:val="28"/>
          <w:szCs w:val="28"/>
        </w:rPr>
      </w:pPr>
      <w:r>
        <w:rPr>
          <w:rFonts w:ascii="Times New Roman" w:eastAsia="Times New Roman" w:hAnsi="Times New Roman" w:cs="Times New Roman"/>
          <w:sz w:val="28"/>
          <w:szCs w:val="28"/>
        </w:rPr>
        <w:t>Guidelines for Briefs 10</w:t>
      </w:r>
    </w:p>
    <w:p w14:paraId="3125B8E5" w14:textId="77777777" w:rsidR="004F7094" w:rsidRDefault="00850FA1">
      <w:pPr>
        <w:widowControl w:val="0"/>
        <w:ind w:left="38"/>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Guidelines for Oral Arguments 14 </w:t>
      </w:r>
    </w:p>
    <w:p w14:paraId="0F32EC2E" w14:textId="77777777" w:rsidR="004F7094" w:rsidRDefault="00850FA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Score Sheet for Briefs 13 </w:t>
      </w:r>
    </w:p>
    <w:p w14:paraId="2F9B6306" w14:textId="77777777" w:rsidR="004F7094" w:rsidRDefault="00850FA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Sample Juror’s Ballot 14 </w:t>
      </w:r>
    </w:p>
    <w:p w14:paraId="7732AD80" w14:textId="77777777" w:rsidR="004F7094" w:rsidRDefault="00850FA1">
      <w:pPr>
        <w:widowControl w:val="0"/>
        <w:rPr>
          <w:rFonts w:ascii="Times New Roman" w:eastAsia="Times New Roman" w:hAnsi="Times New Roman" w:cs="Times New Roman"/>
          <w:i/>
        </w:rPr>
      </w:pPr>
      <w:r>
        <w:rPr>
          <w:rFonts w:ascii="Times New Roman" w:eastAsia="Times New Roman" w:hAnsi="Times New Roman" w:cs="Times New Roman"/>
          <w:sz w:val="28"/>
          <w:szCs w:val="28"/>
        </w:rPr>
        <w:t xml:space="preserve">Jurors of View 16 </w:t>
      </w:r>
    </w:p>
    <w:p w14:paraId="6E36FCE9" w14:textId="77777777" w:rsidR="004F7094" w:rsidRDefault="00850FA1">
      <w:pPr>
        <w:widowControl w:val="0"/>
        <w:spacing w:before="95" w:line="240" w:lineRule="auto"/>
        <w:jc w:val="center"/>
        <w:rPr>
          <w:rFonts w:ascii="Verdana" w:eastAsia="Verdana" w:hAnsi="Verdana" w:cs="Verdana"/>
          <w:b/>
          <w:sz w:val="37"/>
          <w:szCs w:val="37"/>
        </w:rPr>
      </w:pPr>
      <w:r>
        <w:rPr>
          <w:rFonts w:ascii="Verdana" w:eastAsia="Verdana" w:hAnsi="Verdana" w:cs="Verdana"/>
          <w:b/>
          <w:sz w:val="37"/>
          <w:szCs w:val="37"/>
        </w:rPr>
        <w:t xml:space="preserve">SUPREME COURT </w:t>
      </w:r>
    </w:p>
    <w:p w14:paraId="4E9168C2" w14:textId="77777777" w:rsidR="004F7094" w:rsidRDefault="00850FA1">
      <w:pPr>
        <w:widowControl w:val="0"/>
        <w:spacing w:before="155" w:line="240" w:lineRule="auto"/>
        <w:ind w:left="40"/>
        <w:rPr>
          <w:rFonts w:ascii="Verdana" w:eastAsia="Verdana" w:hAnsi="Verdana" w:cs="Verdana"/>
          <w:b/>
          <w:sz w:val="24"/>
          <w:szCs w:val="24"/>
        </w:rPr>
      </w:pPr>
      <w:r>
        <w:rPr>
          <w:rFonts w:ascii="Verdana" w:eastAsia="Verdana" w:hAnsi="Verdana" w:cs="Verdana"/>
          <w:b/>
          <w:sz w:val="24"/>
          <w:szCs w:val="24"/>
        </w:rPr>
        <w:t xml:space="preserve">Chief Justice </w:t>
      </w:r>
    </w:p>
    <w:p w14:paraId="3B6CCCE5" w14:textId="77777777" w:rsidR="004F7094" w:rsidRDefault="00850FA1">
      <w:pPr>
        <w:widowControl w:val="0"/>
        <w:spacing w:before="2" w:line="240" w:lineRule="auto"/>
        <w:ind w:left="38"/>
        <w:rPr>
          <w:rFonts w:ascii="Times New Roman" w:eastAsia="Times New Roman" w:hAnsi="Times New Roman" w:cs="Times New Roman"/>
          <w:sz w:val="24"/>
          <w:szCs w:val="24"/>
        </w:rPr>
      </w:pPr>
      <w:r>
        <w:rPr>
          <w:rFonts w:ascii="Times New Roman" w:eastAsia="Times New Roman" w:hAnsi="Times New Roman" w:cs="Times New Roman"/>
          <w:b/>
          <w:sz w:val="24"/>
          <w:szCs w:val="24"/>
        </w:rPr>
        <w:t>Jackson Clemons, Belmont University</w:t>
      </w:r>
    </w:p>
    <w:p w14:paraId="57FD2EAD" w14:textId="37D40147" w:rsidR="004F7094" w:rsidRDefault="00454BA1">
      <w:pPr>
        <w:widowControl w:val="0"/>
        <w:spacing w:before="140" w:line="240" w:lineRule="auto"/>
        <w:ind w:left="18"/>
        <w:rPr>
          <w:rFonts w:ascii="Verdana" w:eastAsia="Verdana" w:hAnsi="Verdana" w:cs="Verdana"/>
          <w:b/>
          <w:sz w:val="24"/>
          <w:szCs w:val="24"/>
        </w:rPr>
      </w:pPr>
      <w:r>
        <w:rPr>
          <w:rFonts w:ascii="Verdana" w:eastAsia="Verdana" w:hAnsi="Verdana" w:cs="Verdana"/>
          <w:b/>
          <w:sz w:val="24"/>
          <w:szCs w:val="24"/>
        </w:rPr>
        <w:t xml:space="preserve">Associate </w:t>
      </w:r>
      <w:r w:rsidR="00850FA1">
        <w:rPr>
          <w:rFonts w:ascii="Verdana" w:eastAsia="Verdana" w:hAnsi="Verdana" w:cs="Verdana"/>
          <w:b/>
          <w:sz w:val="24"/>
          <w:szCs w:val="24"/>
        </w:rPr>
        <w:t xml:space="preserve">Justices </w:t>
      </w:r>
    </w:p>
    <w:p w14:paraId="26F4999C" w14:textId="77777777" w:rsidR="004F7094" w:rsidRDefault="00850FA1">
      <w:pPr>
        <w:widowControl w:val="0"/>
        <w:spacing w:before="4" w:line="240" w:lineRule="auto"/>
        <w:ind w:left="16"/>
        <w:rPr>
          <w:rFonts w:ascii="Times New Roman" w:eastAsia="Times New Roman" w:hAnsi="Times New Roman" w:cs="Times New Roman"/>
          <w:b/>
          <w:sz w:val="24"/>
          <w:szCs w:val="24"/>
        </w:rPr>
      </w:pPr>
      <w:r>
        <w:rPr>
          <w:rFonts w:ascii="Times New Roman" w:eastAsia="Times New Roman" w:hAnsi="Times New Roman" w:cs="Times New Roman"/>
          <w:b/>
          <w:sz w:val="24"/>
          <w:szCs w:val="24"/>
        </w:rPr>
        <w:t>Amelia Hart, East Tennessee State University</w:t>
      </w:r>
    </w:p>
    <w:p w14:paraId="10B5CBB1" w14:textId="77777777" w:rsidR="004F7094" w:rsidRDefault="00850FA1">
      <w:pPr>
        <w:widowControl w:val="0"/>
        <w:spacing w:before="4" w:line="240" w:lineRule="auto"/>
        <w:ind w:left="16"/>
        <w:rPr>
          <w:rFonts w:ascii="Times New Roman" w:eastAsia="Times New Roman" w:hAnsi="Times New Roman" w:cs="Times New Roman"/>
          <w:b/>
          <w:sz w:val="24"/>
          <w:szCs w:val="24"/>
        </w:rPr>
      </w:pPr>
      <w:r>
        <w:rPr>
          <w:rFonts w:ascii="Times New Roman" w:eastAsia="Times New Roman" w:hAnsi="Times New Roman" w:cs="Times New Roman"/>
          <w:b/>
          <w:sz w:val="24"/>
          <w:szCs w:val="24"/>
        </w:rPr>
        <w:t>Baylee Denton, Carson-Newman University</w:t>
      </w:r>
    </w:p>
    <w:p w14:paraId="29540CDC" w14:textId="77777777" w:rsidR="004F7094" w:rsidRDefault="00850FA1">
      <w:pPr>
        <w:widowControl w:val="0"/>
        <w:spacing w:before="4" w:line="240" w:lineRule="auto"/>
        <w:ind w:left="1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Hunter Fowler, University of Tennessee at </w:t>
      </w:r>
      <w:proofErr w:type="spellStart"/>
      <w:r>
        <w:rPr>
          <w:rFonts w:ascii="Times New Roman" w:eastAsia="Times New Roman" w:hAnsi="Times New Roman" w:cs="Times New Roman"/>
          <w:b/>
          <w:sz w:val="24"/>
          <w:szCs w:val="24"/>
        </w:rPr>
        <w:t>Chatanooga</w:t>
      </w:r>
      <w:proofErr w:type="spellEnd"/>
      <w:r>
        <w:rPr>
          <w:rFonts w:ascii="Times New Roman" w:eastAsia="Times New Roman" w:hAnsi="Times New Roman" w:cs="Times New Roman"/>
          <w:b/>
          <w:sz w:val="24"/>
          <w:szCs w:val="24"/>
        </w:rPr>
        <w:t xml:space="preserve"> </w:t>
      </w:r>
    </w:p>
    <w:p w14:paraId="187E194F" w14:textId="77777777" w:rsidR="004F7094" w:rsidRDefault="00850FA1">
      <w:pPr>
        <w:widowControl w:val="0"/>
        <w:spacing w:before="4" w:line="240" w:lineRule="auto"/>
        <w:ind w:left="16"/>
        <w:rPr>
          <w:rFonts w:ascii="Times New Roman" w:eastAsia="Times New Roman" w:hAnsi="Times New Roman" w:cs="Times New Roman"/>
          <w:b/>
          <w:sz w:val="24"/>
          <w:szCs w:val="24"/>
        </w:rPr>
      </w:pPr>
      <w:r>
        <w:rPr>
          <w:rFonts w:ascii="Times New Roman" w:eastAsia="Times New Roman" w:hAnsi="Times New Roman" w:cs="Times New Roman"/>
          <w:b/>
          <w:sz w:val="24"/>
          <w:szCs w:val="24"/>
        </w:rPr>
        <w:t>Ken Tullis Jr., University of Memphis</w:t>
      </w:r>
    </w:p>
    <w:p w14:paraId="389DA6D2" w14:textId="77777777" w:rsidR="004F7094" w:rsidRDefault="004F7094">
      <w:pPr>
        <w:widowControl w:val="0"/>
        <w:spacing w:before="4" w:line="240" w:lineRule="auto"/>
        <w:ind w:left="16"/>
        <w:rPr>
          <w:rFonts w:ascii="Times New Roman" w:eastAsia="Times New Roman" w:hAnsi="Times New Roman" w:cs="Times New Roman"/>
          <w:b/>
          <w:sz w:val="24"/>
          <w:szCs w:val="24"/>
        </w:rPr>
      </w:pPr>
    </w:p>
    <w:p w14:paraId="3BBBF10E" w14:textId="5FC29A8B" w:rsidR="004F7094" w:rsidRDefault="004F7094" w:rsidP="00B45E9A">
      <w:pPr>
        <w:widowControl w:val="0"/>
        <w:spacing w:before="4" w:line="240" w:lineRule="auto"/>
        <w:ind w:left="16"/>
        <w:rPr>
          <w:rFonts w:ascii="Verdana" w:eastAsia="Verdana" w:hAnsi="Verdana" w:cs="Verdana"/>
          <w:b/>
          <w:sz w:val="24"/>
          <w:szCs w:val="24"/>
        </w:rPr>
      </w:pPr>
    </w:p>
    <w:p w14:paraId="7F4045CC" w14:textId="77777777" w:rsidR="00B45E9A" w:rsidRPr="00B45E9A" w:rsidRDefault="00B45E9A" w:rsidP="00B45E9A">
      <w:pPr>
        <w:widowControl w:val="0"/>
        <w:spacing w:before="4" w:line="240" w:lineRule="auto"/>
        <w:ind w:left="16"/>
        <w:rPr>
          <w:rFonts w:ascii="Verdana" w:eastAsia="Verdana" w:hAnsi="Verdana" w:cs="Verdana"/>
          <w:b/>
          <w:sz w:val="24"/>
          <w:szCs w:val="24"/>
        </w:rPr>
      </w:pPr>
    </w:p>
    <w:p w14:paraId="34B1C837" w14:textId="77777777" w:rsidR="004F7094" w:rsidRDefault="004F7094">
      <w:pPr>
        <w:widowControl w:val="0"/>
        <w:spacing w:before="4" w:line="240" w:lineRule="auto"/>
        <w:rPr>
          <w:rFonts w:ascii="Verdana" w:eastAsia="Verdana" w:hAnsi="Verdana" w:cs="Verdana"/>
          <w:b/>
          <w:sz w:val="24"/>
          <w:szCs w:val="24"/>
        </w:rPr>
      </w:pPr>
    </w:p>
    <w:p w14:paraId="341B742A" w14:textId="77777777" w:rsidR="00186C16" w:rsidRDefault="00186C16">
      <w:pPr>
        <w:widowControl w:val="0"/>
        <w:spacing w:before="4" w:line="240" w:lineRule="auto"/>
        <w:rPr>
          <w:rFonts w:ascii="Verdana" w:eastAsia="Verdana" w:hAnsi="Verdana" w:cs="Verdana"/>
          <w:b/>
          <w:sz w:val="24"/>
          <w:szCs w:val="24"/>
        </w:rPr>
        <w:sectPr w:rsidR="00186C16">
          <w:headerReference w:type="default" r:id="rId11"/>
          <w:footerReference w:type="default" r:id="rId12"/>
          <w:pgSz w:w="12240" w:h="15840"/>
          <w:pgMar w:top="1440" w:right="1440" w:bottom="1440" w:left="1440" w:header="720" w:footer="720" w:gutter="0"/>
          <w:pgNumType w:start="1"/>
          <w:cols w:space="720"/>
        </w:sectPr>
      </w:pPr>
    </w:p>
    <w:p w14:paraId="1C442D13" w14:textId="77777777" w:rsidR="004F7094" w:rsidRDefault="00850FA1">
      <w:pPr>
        <w:widowControl w:val="0"/>
        <w:spacing w:before="4" w:line="240" w:lineRule="auto"/>
        <w:jc w:val="center"/>
        <w:rPr>
          <w:rFonts w:ascii="Verdana" w:eastAsia="Verdana" w:hAnsi="Verdana" w:cs="Verdana"/>
          <w:b/>
          <w:sz w:val="26"/>
          <w:szCs w:val="26"/>
        </w:rPr>
      </w:pPr>
      <w:r>
        <w:rPr>
          <w:rFonts w:ascii="Verdana" w:eastAsia="Verdana" w:hAnsi="Verdana" w:cs="Verdana"/>
          <w:b/>
          <w:sz w:val="26"/>
          <w:szCs w:val="26"/>
        </w:rPr>
        <w:lastRenderedPageBreak/>
        <w:t>Tennessee Intercollegiate Supreme Court</w:t>
      </w:r>
    </w:p>
    <w:p w14:paraId="7E82061E" w14:textId="77777777" w:rsidR="004F7094" w:rsidRDefault="00850FA1">
      <w:pPr>
        <w:widowControl w:val="0"/>
        <w:spacing w:after="200"/>
        <w:ind w:right="-360"/>
        <w:rPr>
          <w:rFonts w:ascii="Times New Roman" w:eastAsia="Times New Roman" w:hAnsi="Times New Roman" w:cs="Times New Roman"/>
        </w:rPr>
      </w:pPr>
      <w:r>
        <w:rPr>
          <w:rFonts w:ascii="Times New Roman" w:eastAsia="Times New Roman" w:hAnsi="Times New Roman" w:cs="Times New Roman"/>
        </w:rPr>
        <w:t xml:space="preserve">The Tennessee Intercollegiate Supreme Court (TISC) presides over AMC3 and has original and sole jurisdiction over issues arising from the TISL Constitution, laws, and proceedings. </w:t>
      </w:r>
    </w:p>
    <w:p w14:paraId="5D31B365" w14:textId="77777777" w:rsidR="004F7094" w:rsidRDefault="00850FA1">
      <w:pPr>
        <w:widowControl w:val="0"/>
        <w:spacing w:after="200"/>
        <w:ind w:right="-360"/>
        <w:rPr>
          <w:rFonts w:ascii="Times New Roman" w:eastAsia="Times New Roman" w:hAnsi="Times New Roman" w:cs="Times New Roman"/>
        </w:rPr>
      </w:pPr>
      <w:r>
        <w:rPr>
          <w:rFonts w:ascii="Times New Roman" w:eastAsia="Times New Roman" w:hAnsi="Times New Roman" w:cs="Times New Roman"/>
        </w:rPr>
        <w:t xml:space="preserve">TISC is the judicial branch of TISL and </w:t>
      </w:r>
      <w:proofErr w:type="gramStart"/>
      <w:r>
        <w:rPr>
          <w:rFonts w:ascii="Times New Roman" w:eastAsia="Times New Roman" w:hAnsi="Times New Roman" w:cs="Times New Roman"/>
        </w:rPr>
        <w:t>is</w:t>
      </w:r>
      <w:proofErr w:type="gramEnd"/>
      <w:r>
        <w:rPr>
          <w:rFonts w:ascii="Times New Roman" w:eastAsia="Times New Roman" w:hAnsi="Times New Roman" w:cs="Times New Roman"/>
        </w:rPr>
        <w:t xml:space="preserve"> established by the Constitution (Article VIII). It is further governed by Chapter 4 of the TISL Legal Code. The Constitution and Legal Code are online at www.TISLonline.org. </w:t>
      </w:r>
    </w:p>
    <w:p w14:paraId="56BC0554" w14:textId="77777777" w:rsidR="004F7094" w:rsidRDefault="00850FA1">
      <w:pPr>
        <w:widowControl w:val="0"/>
        <w:spacing w:after="200"/>
        <w:ind w:right="-180"/>
        <w:rPr>
          <w:rFonts w:ascii="Times New Roman" w:eastAsia="Times New Roman" w:hAnsi="Times New Roman" w:cs="Times New Roman"/>
        </w:rPr>
      </w:pPr>
      <w:r>
        <w:rPr>
          <w:rFonts w:ascii="Times New Roman" w:eastAsia="Times New Roman" w:hAnsi="Times New Roman" w:cs="Times New Roman"/>
        </w:rPr>
        <w:t xml:space="preserve">TISC is organized like the Tennessee Supreme Court. Five justices are appointed by the TISL Governor from a panel of nominees selected by the Supreme Court Nominating Commission (TISL Legal Code 4-2-1 et seq.). </w:t>
      </w:r>
    </w:p>
    <w:p w14:paraId="062546FA" w14:textId="77777777" w:rsidR="004F7094" w:rsidRDefault="00850FA1">
      <w:pPr>
        <w:widowControl w:val="0"/>
        <w:spacing w:after="200"/>
        <w:ind w:right="-360"/>
        <w:rPr>
          <w:rFonts w:ascii="Times New Roman" w:eastAsia="Times New Roman" w:hAnsi="Times New Roman" w:cs="Times New Roman"/>
        </w:rPr>
      </w:pPr>
      <w:r>
        <w:rPr>
          <w:rFonts w:ascii="Times New Roman" w:eastAsia="Times New Roman" w:hAnsi="Times New Roman" w:cs="Times New Roman"/>
        </w:rPr>
        <w:t xml:space="preserve">In keeping with Tennessee practice, the Court elects the Chief Justice and the Attorney General, who are members of the TISL Executive. The primary courtroom for TISC is the Old Supreme Court Chamber of the Capitol, although additional facilities will be used for the preliminary and championship rounds of AMC3. </w:t>
      </w:r>
    </w:p>
    <w:p w14:paraId="5F20A808" w14:textId="77777777" w:rsidR="004F7094" w:rsidRDefault="00850FA1">
      <w:pPr>
        <w:widowControl w:val="0"/>
        <w:spacing w:after="200"/>
        <w:ind w:right="-360"/>
        <w:jc w:val="center"/>
        <w:rPr>
          <w:rFonts w:ascii="Verdana" w:eastAsia="Verdana" w:hAnsi="Verdana" w:cs="Verdana"/>
          <w:b/>
          <w:sz w:val="26"/>
          <w:szCs w:val="26"/>
        </w:rPr>
      </w:pPr>
      <w:r>
        <w:rPr>
          <w:rFonts w:ascii="Verdana" w:eastAsia="Verdana" w:hAnsi="Verdana" w:cs="Verdana"/>
          <w:b/>
          <w:sz w:val="26"/>
          <w:szCs w:val="26"/>
        </w:rPr>
        <w:t>Appellate Moot Court Collegiate Challenge</w:t>
      </w:r>
    </w:p>
    <w:p w14:paraId="02DB1220" w14:textId="77777777" w:rsidR="004F7094" w:rsidRDefault="00850FA1">
      <w:pPr>
        <w:widowControl w:val="0"/>
        <w:spacing w:after="200"/>
        <w:ind w:right="-360"/>
        <w:rPr>
          <w:rFonts w:ascii="Times New Roman" w:eastAsia="Times New Roman" w:hAnsi="Times New Roman" w:cs="Times New Roman"/>
        </w:rPr>
      </w:pPr>
      <w:r>
        <w:rPr>
          <w:rFonts w:ascii="Times New Roman" w:eastAsia="Times New Roman" w:hAnsi="Times New Roman" w:cs="Times New Roman"/>
        </w:rPr>
        <w:t xml:space="preserve">The Appellate Moot Court Collegiate Challenge (AMC3) is an appellate court simulation. </w:t>
      </w:r>
    </w:p>
    <w:p w14:paraId="29531996" w14:textId="77777777" w:rsidR="004F7094" w:rsidRDefault="00850FA1">
      <w:pPr>
        <w:widowControl w:val="0"/>
        <w:spacing w:after="200"/>
        <w:ind w:right="-360"/>
        <w:rPr>
          <w:rFonts w:ascii="Times New Roman" w:eastAsia="Times New Roman" w:hAnsi="Times New Roman" w:cs="Times New Roman"/>
        </w:rPr>
      </w:pPr>
      <w:r>
        <w:rPr>
          <w:rFonts w:ascii="Times New Roman" w:eastAsia="Times New Roman" w:hAnsi="Times New Roman" w:cs="Times New Roman"/>
        </w:rPr>
        <w:t xml:space="preserve">Once a case has been decided in trial court, the petitioner may attempt to overturn the decision by petitioning for an appeal. AMC3 recreates this setting with AMC3 participants acting as lawyers representing the Petitioners and Respondents for the case. </w:t>
      </w:r>
    </w:p>
    <w:p w14:paraId="74095FAA" w14:textId="77777777" w:rsidR="004F7094" w:rsidRDefault="00850FA1">
      <w:pPr>
        <w:widowControl w:val="0"/>
        <w:spacing w:after="200"/>
        <w:ind w:right="-360"/>
        <w:rPr>
          <w:rFonts w:ascii="Times New Roman" w:eastAsia="Times New Roman" w:hAnsi="Times New Roman" w:cs="Times New Roman"/>
        </w:rPr>
      </w:pPr>
      <w:r>
        <w:rPr>
          <w:rFonts w:ascii="Times New Roman" w:eastAsia="Times New Roman" w:hAnsi="Times New Roman" w:cs="Times New Roman"/>
        </w:rPr>
        <w:t xml:space="preserve">AMC3 teams are required to prepare a case brief before the tournament and present a 20-minute oral argument. A team is two to five students; four is typical. Each college is limited to only one team. </w:t>
      </w:r>
    </w:p>
    <w:p w14:paraId="26A7FB3D" w14:textId="77777777" w:rsidR="004F7094" w:rsidRDefault="004F7094">
      <w:pPr>
        <w:widowControl w:val="0"/>
        <w:spacing w:after="200"/>
        <w:ind w:right="-360"/>
        <w:rPr>
          <w:rFonts w:ascii="Times New Roman" w:eastAsia="Times New Roman" w:hAnsi="Times New Roman" w:cs="Times New Roman"/>
        </w:rPr>
      </w:pPr>
    </w:p>
    <w:p w14:paraId="155E1E04" w14:textId="77777777" w:rsidR="004F7094" w:rsidRDefault="00850FA1">
      <w:pPr>
        <w:widowControl w:val="0"/>
        <w:spacing w:after="200"/>
        <w:ind w:right="-360"/>
        <w:rPr>
          <w:rFonts w:ascii="Times New Roman" w:eastAsia="Times New Roman" w:hAnsi="Times New Roman" w:cs="Times New Roman"/>
        </w:rPr>
      </w:pPr>
      <w:r>
        <w:rPr>
          <w:rFonts w:ascii="Times New Roman" w:eastAsia="Times New Roman" w:hAnsi="Times New Roman" w:cs="Times New Roman"/>
        </w:rPr>
        <w:t xml:space="preserve">Each fall, TISC releases a problem that </w:t>
      </w:r>
      <w:proofErr w:type="gramStart"/>
      <w:r>
        <w:rPr>
          <w:rFonts w:ascii="Times New Roman" w:eastAsia="Times New Roman" w:hAnsi="Times New Roman" w:cs="Times New Roman"/>
        </w:rPr>
        <w:t>teams</w:t>
      </w:r>
      <w:proofErr w:type="gramEnd"/>
      <w:r>
        <w:rPr>
          <w:rFonts w:ascii="Times New Roman" w:eastAsia="Times New Roman" w:hAnsi="Times New Roman" w:cs="Times New Roman"/>
        </w:rPr>
        <w:t xml:space="preserve"> study. The AMC3 problem is published annually around Labor Day. The case to be argued is a closed hypothetical factual problem, and legal authorities used in arguments are drawn from a closed table of case and statute authorities supplied to the competing teams. Each team shall prepare one brief as well as oral arguments for both the petitioner and the respondent. The brief is submitted in advance of the TISL General Assembly. AMC3 oral arguments occur in Nashville concurrently with the TISL General Assembly at the State Capitol. </w:t>
      </w:r>
    </w:p>
    <w:p w14:paraId="56B24489" w14:textId="77777777" w:rsidR="004F7094" w:rsidRDefault="00850FA1">
      <w:pPr>
        <w:widowControl w:val="0"/>
        <w:spacing w:after="200"/>
        <w:ind w:right="-360"/>
        <w:rPr>
          <w:rFonts w:ascii="Times New Roman" w:eastAsia="Times New Roman" w:hAnsi="Times New Roman" w:cs="Times New Roman"/>
        </w:rPr>
      </w:pPr>
      <w:r>
        <w:rPr>
          <w:rFonts w:ascii="Times New Roman" w:eastAsia="Times New Roman" w:hAnsi="Times New Roman" w:cs="Times New Roman"/>
        </w:rPr>
        <w:t xml:space="preserve">Each team argues twice for the petitioner and twice for the respondent in the preliminary rounds. Eight teams advance to the semifinal rounds and argue once for the petitioner and once for the respondent. </w:t>
      </w:r>
    </w:p>
    <w:p w14:paraId="0FFC27BF" w14:textId="77777777" w:rsidR="004F7094" w:rsidRDefault="00850FA1">
      <w:pPr>
        <w:widowControl w:val="0"/>
        <w:spacing w:after="200"/>
        <w:ind w:right="-360"/>
        <w:rPr>
          <w:rFonts w:ascii="Times New Roman" w:eastAsia="Times New Roman" w:hAnsi="Times New Roman" w:cs="Times New Roman"/>
        </w:rPr>
      </w:pPr>
      <w:r>
        <w:rPr>
          <w:rFonts w:ascii="Times New Roman" w:eastAsia="Times New Roman" w:hAnsi="Times New Roman" w:cs="Times New Roman"/>
        </w:rPr>
        <w:t xml:space="preserve">Two teams advance to the championship round and argue once for the petitioner and once for the respondent. A champion is announced at the closing session of the General Assembly. </w:t>
      </w:r>
    </w:p>
    <w:p w14:paraId="578D740C" w14:textId="77777777" w:rsidR="004F7094" w:rsidRDefault="00850FA1">
      <w:pPr>
        <w:widowControl w:val="0"/>
        <w:spacing w:after="200"/>
        <w:ind w:right="-360"/>
        <w:rPr>
          <w:rFonts w:ascii="Times New Roman" w:eastAsia="Times New Roman" w:hAnsi="Times New Roman" w:cs="Times New Roman"/>
        </w:rPr>
      </w:pPr>
      <w:r>
        <w:rPr>
          <w:rFonts w:ascii="Times New Roman" w:eastAsia="Times New Roman" w:hAnsi="Times New Roman" w:cs="Times New Roman"/>
        </w:rPr>
        <w:t xml:space="preserve">During the preliminary rounds, a justice of TISC is the presiding judge, and at least one magistrate serves as a non-scoring judge. During the semifinal rounds, three justices of TISC will typically preside, and the Court sits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banc during the championship round. </w:t>
      </w:r>
    </w:p>
    <w:p w14:paraId="68A9C9E6" w14:textId="77777777" w:rsidR="004F7094" w:rsidRDefault="00850FA1">
      <w:pPr>
        <w:widowControl w:val="0"/>
        <w:spacing w:after="200"/>
        <w:ind w:right="-360"/>
        <w:rPr>
          <w:rFonts w:ascii="Times New Roman" w:eastAsia="Times New Roman" w:hAnsi="Times New Roman" w:cs="Times New Roman"/>
        </w:rPr>
      </w:pPr>
      <w:r>
        <w:rPr>
          <w:rFonts w:ascii="Times New Roman" w:eastAsia="Times New Roman" w:hAnsi="Times New Roman" w:cs="Times New Roman"/>
        </w:rPr>
        <w:t xml:space="preserve">A Jury of View comprised of active and retired lawyers, judges, and/or law students will rate each team. Each juror will cast a single ballot. TISC justices shall also rate each team. If multiple justices are sitting, the presiding justice will compile the justices’ votes, and whichever team receives more votes will receive the justices’ single ballot in that round. </w:t>
      </w:r>
    </w:p>
    <w:p w14:paraId="54B358B7" w14:textId="77777777" w:rsidR="004F7094" w:rsidRDefault="00850FA1">
      <w:pPr>
        <w:widowControl w:val="0"/>
        <w:spacing w:after="200"/>
        <w:ind w:right="-360"/>
        <w:rPr>
          <w:rFonts w:ascii="Times New Roman" w:eastAsia="Times New Roman" w:hAnsi="Times New Roman" w:cs="Times New Roman"/>
        </w:rPr>
      </w:pPr>
      <w:r>
        <w:rPr>
          <w:rFonts w:ascii="Times New Roman" w:eastAsia="Times New Roman" w:hAnsi="Times New Roman" w:cs="Times New Roman"/>
        </w:rPr>
        <w:t xml:space="preserve">On the morning of the fourth day, Sunday, the Supreme Court will deliver its decision and will announce the winner of the competition. Awards will also be presented to the best petitioner attorney, best respondent attorney, and the team with the best brief. </w:t>
      </w:r>
    </w:p>
    <w:p w14:paraId="7F5F4E5A" w14:textId="77777777" w:rsidR="004F7094" w:rsidRDefault="004F7094">
      <w:pPr>
        <w:widowControl w:val="0"/>
        <w:spacing w:after="200"/>
        <w:ind w:right="-360"/>
        <w:rPr>
          <w:rFonts w:ascii="Times New Roman" w:eastAsia="Times New Roman" w:hAnsi="Times New Roman" w:cs="Times New Roman"/>
        </w:rPr>
      </w:pPr>
    </w:p>
    <w:p w14:paraId="064DC5CA" w14:textId="77777777" w:rsidR="004F7094" w:rsidRDefault="004F7094">
      <w:pPr>
        <w:widowControl w:val="0"/>
        <w:rPr>
          <w:rFonts w:ascii="Times New Roman" w:eastAsia="Times New Roman" w:hAnsi="Times New Roman" w:cs="Times New Roman"/>
        </w:rPr>
      </w:pPr>
    </w:p>
    <w:tbl>
      <w:tblPr>
        <w:tblStyle w:val="a"/>
        <w:tblpPr w:leftFromText="180" w:rightFromText="180" w:topFromText="180" w:bottomFromText="180" w:vertAnchor="text" w:tblpX="585"/>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2205"/>
        <w:gridCol w:w="2070"/>
        <w:gridCol w:w="2655"/>
      </w:tblGrid>
      <w:tr w:rsidR="004F7094" w14:paraId="1CDD36C3" w14:textId="77777777">
        <w:trPr>
          <w:trHeight w:val="440"/>
        </w:trPr>
        <w:tc>
          <w:tcPr>
            <w:tcW w:w="2070" w:type="dxa"/>
            <w:vMerge w:val="restart"/>
          </w:tcPr>
          <w:p w14:paraId="70A989DB" w14:textId="77777777" w:rsidR="004F7094" w:rsidRDefault="004F7094">
            <w:pPr>
              <w:widowControl w:val="0"/>
              <w:rPr>
                <w:rFonts w:ascii="Times New Roman" w:eastAsia="Times New Roman" w:hAnsi="Times New Roman" w:cs="Times New Roman"/>
              </w:rPr>
            </w:pPr>
          </w:p>
        </w:tc>
        <w:tc>
          <w:tcPr>
            <w:tcW w:w="6930" w:type="dxa"/>
            <w:gridSpan w:val="3"/>
          </w:tcPr>
          <w:p w14:paraId="331A8E98" w14:textId="77777777" w:rsidR="004F7094" w:rsidRDefault="00850FA1">
            <w:pPr>
              <w:widowControl w:val="0"/>
              <w:spacing w:line="240" w:lineRule="auto"/>
              <w:jc w:val="center"/>
              <w:rPr>
                <w:rFonts w:ascii="Verdana" w:eastAsia="Verdana" w:hAnsi="Verdana" w:cs="Verdana"/>
                <w:b/>
                <w:sz w:val="18"/>
                <w:szCs w:val="18"/>
              </w:rPr>
            </w:pPr>
            <w:r>
              <w:rPr>
                <w:rFonts w:ascii="Verdana" w:eastAsia="Verdana" w:hAnsi="Verdana" w:cs="Verdana"/>
                <w:b/>
                <w:sz w:val="18"/>
                <w:szCs w:val="18"/>
              </w:rPr>
              <w:t>Round</w:t>
            </w:r>
          </w:p>
        </w:tc>
      </w:tr>
      <w:tr w:rsidR="004F7094" w14:paraId="12793008" w14:textId="77777777">
        <w:trPr>
          <w:trHeight w:val="420"/>
        </w:trPr>
        <w:tc>
          <w:tcPr>
            <w:tcW w:w="2070" w:type="dxa"/>
            <w:vMerge/>
          </w:tcPr>
          <w:p w14:paraId="6D8A8CA3" w14:textId="77777777" w:rsidR="004F7094" w:rsidRDefault="004F7094">
            <w:pPr>
              <w:widowControl w:val="0"/>
              <w:rPr>
                <w:rFonts w:ascii="Verdana" w:eastAsia="Verdana" w:hAnsi="Verdana" w:cs="Verdana"/>
                <w:b/>
                <w:sz w:val="18"/>
                <w:szCs w:val="18"/>
              </w:rPr>
            </w:pPr>
          </w:p>
        </w:tc>
        <w:tc>
          <w:tcPr>
            <w:tcW w:w="2205" w:type="dxa"/>
          </w:tcPr>
          <w:p w14:paraId="77423316" w14:textId="77777777" w:rsidR="004F7094" w:rsidRDefault="00850FA1">
            <w:pPr>
              <w:widowControl w:val="0"/>
              <w:spacing w:line="240" w:lineRule="auto"/>
              <w:ind w:right="407"/>
              <w:jc w:val="center"/>
              <w:rPr>
                <w:rFonts w:ascii="Verdana" w:eastAsia="Verdana" w:hAnsi="Verdana" w:cs="Verdana"/>
                <w:b/>
                <w:sz w:val="18"/>
                <w:szCs w:val="18"/>
              </w:rPr>
            </w:pPr>
            <w:r>
              <w:rPr>
                <w:rFonts w:ascii="Verdana" w:eastAsia="Verdana" w:hAnsi="Verdana" w:cs="Verdana"/>
                <w:b/>
                <w:sz w:val="18"/>
                <w:szCs w:val="18"/>
              </w:rPr>
              <w:t xml:space="preserve">Preliminary </w:t>
            </w:r>
          </w:p>
        </w:tc>
        <w:tc>
          <w:tcPr>
            <w:tcW w:w="2070" w:type="dxa"/>
          </w:tcPr>
          <w:p w14:paraId="41AEC628" w14:textId="77777777" w:rsidR="004F7094" w:rsidRDefault="00850FA1">
            <w:pPr>
              <w:widowControl w:val="0"/>
              <w:spacing w:line="240" w:lineRule="auto"/>
              <w:ind w:right="479"/>
              <w:jc w:val="center"/>
              <w:rPr>
                <w:rFonts w:ascii="Verdana" w:eastAsia="Verdana" w:hAnsi="Verdana" w:cs="Verdana"/>
                <w:b/>
                <w:sz w:val="18"/>
                <w:szCs w:val="18"/>
              </w:rPr>
            </w:pPr>
            <w:r>
              <w:rPr>
                <w:rFonts w:ascii="Verdana" w:eastAsia="Verdana" w:hAnsi="Verdana" w:cs="Verdana"/>
                <w:b/>
                <w:sz w:val="18"/>
                <w:szCs w:val="18"/>
              </w:rPr>
              <w:t>Semifinals</w:t>
            </w:r>
          </w:p>
        </w:tc>
        <w:tc>
          <w:tcPr>
            <w:tcW w:w="2655" w:type="dxa"/>
          </w:tcPr>
          <w:p w14:paraId="68F4CD69" w14:textId="77777777" w:rsidR="004F7094" w:rsidRDefault="00850FA1">
            <w:pPr>
              <w:widowControl w:val="0"/>
              <w:spacing w:line="240" w:lineRule="auto"/>
              <w:jc w:val="center"/>
              <w:rPr>
                <w:rFonts w:ascii="Verdana" w:eastAsia="Verdana" w:hAnsi="Verdana" w:cs="Verdana"/>
                <w:b/>
                <w:sz w:val="18"/>
                <w:szCs w:val="18"/>
              </w:rPr>
            </w:pPr>
            <w:r>
              <w:rPr>
                <w:rFonts w:ascii="Verdana" w:eastAsia="Verdana" w:hAnsi="Verdana" w:cs="Verdana"/>
                <w:b/>
                <w:sz w:val="18"/>
                <w:szCs w:val="18"/>
              </w:rPr>
              <w:t>Finals</w:t>
            </w:r>
          </w:p>
        </w:tc>
      </w:tr>
      <w:tr w:rsidR="004F7094" w14:paraId="41E1260B" w14:textId="77777777">
        <w:trPr>
          <w:trHeight w:val="520"/>
        </w:trPr>
        <w:tc>
          <w:tcPr>
            <w:tcW w:w="2070" w:type="dxa"/>
          </w:tcPr>
          <w:p w14:paraId="4E34522F" w14:textId="77777777" w:rsidR="004F7094" w:rsidRDefault="00850FA1">
            <w:pPr>
              <w:widowControl w:val="0"/>
              <w:spacing w:line="240" w:lineRule="auto"/>
              <w:jc w:val="center"/>
              <w:rPr>
                <w:rFonts w:ascii="Verdana" w:eastAsia="Verdana" w:hAnsi="Verdana" w:cs="Verdana"/>
                <w:b/>
                <w:sz w:val="18"/>
                <w:szCs w:val="18"/>
              </w:rPr>
            </w:pPr>
            <w:r>
              <w:rPr>
                <w:rFonts w:ascii="Verdana" w:eastAsia="Verdana" w:hAnsi="Verdana" w:cs="Verdana"/>
                <w:b/>
                <w:sz w:val="18"/>
                <w:szCs w:val="18"/>
              </w:rPr>
              <w:t xml:space="preserve">Participating Teams </w:t>
            </w:r>
          </w:p>
        </w:tc>
        <w:tc>
          <w:tcPr>
            <w:tcW w:w="2205" w:type="dxa"/>
          </w:tcPr>
          <w:p w14:paraId="4841C684" w14:textId="77777777" w:rsidR="004F7094" w:rsidRDefault="00850FA1">
            <w:pPr>
              <w:widowControl w:val="0"/>
              <w:spacing w:line="240" w:lineRule="auto"/>
              <w:jc w:val="center"/>
              <w:rPr>
                <w:rFonts w:ascii="Cambria" w:eastAsia="Cambria" w:hAnsi="Cambria" w:cs="Cambria"/>
                <w:sz w:val="24"/>
                <w:szCs w:val="24"/>
              </w:rPr>
            </w:pPr>
            <w:r>
              <w:rPr>
                <w:rFonts w:ascii="Cambria" w:eastAsia="Cambria" w:hAnsi="Cambria" w:cs="Cambria"/>
                <w:sz w:val="24"/>
                <w:szCs w:val="24"/>
              </w:rPr>
              <w:t xml:space="preserve">All </w:t>
            </w:r>
          </w:p>
        </w:tc>
        <w:tc>
          <w:tcPr>
            <w:tcW w:w="2070" w:type="dxa"/>
          </w:tcPr>
          <w:p w14:paraId="1E698FF2" w14:textId="77777777" w:rsidR="004F7094" w:rsidRDefault="00850FA1">
            <w:pPr>
              <w:widowControl w:val="0"/>
              <w:spacing w:line="240" w:lineRule="auto"/>
              <w:ind w:right="1075"/>
              <w:jc w:val="right"/>
              <w:rPr>
                <w:rFonts w:ascii="Cambria" w:eastAsia="Cambria" w:hAnsi="Cambria" w:cs="Cambria"/>
                <w:sz w:val="24"/>
                <w:szCs w:val="24"/>
              </w:rPr>
            </w:pPr>
            <w:r>
              <w:rPr>
                <w:rFonts w:ascii="Cambria" w:eastAsia="Cambria" w:hAnsi="Cambria" w:cs="Cambria"/>
                <w:sz w:val="24"/>
                <w:szCs w:val="24"/>
              </w:rPr>
              <w:t xml:space="preserve">8 </w:t>
            </w:r>
          </w:p>
        </w:tc>
        <w:tc>
          <w:tcPr>
            <w:tcW w:w="2655" w:type="dxa"/>
          </w:tcPr>
          <w:p w14:paraId="52C3F029" w14:textId="77777777" w:rsidR="004F7094" w:rsidRDefault="00850FA1">
            <w:pPr>
              <w:widowControl w:val="0"/>
              <w:spacing w:line="240" w:lineRule="auto"/>
              <w:jc w:val="center"/>
              <w:rPr>
                <w:rFonts w:ascii="Cambria" w:eastAsia="Cambria" w:hAnsi="Cambria" w:cs="Cambria"/>
                <w:sz w:val="24"/>
                <w:szCs w:val="24"/>
              </w:rPr>
            </w:pPr>
            <w:r>
              <w:rPr>
                <w:rFonts w:ascii="Cambria" w:eastAsia="Cambria" w:hAnsi="Cambria" w:cs="Cambria"/>
                <w:sz w:val="24"/>
                <w:szCs w:val="24"/>
              </w:rPr>
              <w:t>2</w:t>
            </w:r>
          </w:p>
        </w:tc>
      </w:tr>
      <w:tr w:rsidR="004F7094" w14:paraId="665A96E3" w14:textId="77777777">
        <w:trPr>
          <w:trHeight w:val="800"/>
        </w:trPr>
        <w:tc>
          <w:tcPr>
            <w:tcW w:w="2070" w:type="dxa"/>
          </w:tcPr>
          <w:p w14:paraId="757D42F8" w14:textId="77777777" w:rsidR="004F7094" w:rsidRDefault="00850FA1">
            <w:pPr>
              <w:widowControl w:val="0"/>
              <w:spacing w:line="240" w:lineRule="auto"/>
              <w:jc w:val="center"/>
              <w:rPr>
                <w:rFonts w:ascii="Verdana" w:eastAsia="Verdana" w:hAnsi="Verdana" w:cs="Verdana"/>
                <w:b/>
                <w:sz w:val="18"/>
                <w:szCs w:val="18"/>
              </w:rPr>
            </w:pPr>
            <w:r>
              <w:rPr>
                <w:rFonts w:ascii="Verdana" w:eastAsia="Verdana" w:hAnsi="Verdana" w:cs="Verdana"/>
                <w:b/>
                <w:sz w:val="18"/>
                <w:szCs w:val="18"/>
              </w:rPr>
              <w:t xml:space="preserve">Day(s) </w:t>
            </w:r>
          </w:p>
        </w:tc>
        <w:tc>
          <w:tcPr>
            <w:tcW w:w="2205" w:type="dxa"/>
          </w:tcPr>
          <w:p w14:paraId="617F0F2A" w14:textId="77777777" w:rsidR="004F7094" w:rsidRDefault="00850FA1">
            <w:pPr>
              <w:widowControl w:val="0"/>
              <w:spacing w:line="240" w:lineRule="auto"/>
              <w:ind w:right="379"/>
              <w:jc w:val="right"/>
              <w:rPr>
                <w:rFonts w:ascii="Cambria" w:eastAsia="Cambria" w:hAnsi="Cambria" w:cs="Cambria"/>
                <w:sz w:val="24"/>
                <w:szCs w:val="24"/>
              </w:rPr>
            </w:pPr>
            <w:r>
              <w:rPr>
                <w:rFonts w:ascii="Cambria" w:eastAsia="Cambria" w:hAnsi="Cambria" w:cs="Cambria"/>
                <w:sz w:val="24"/>
                <w:szCs w:val="24"/>
              </w:rPr>
              <w:t xml:space="preserve">Thursday &amp; </w:t>
            </w:r>
          </w:p>
          <w:p w14:paraId="6275ADD3" w14:textId="77777777" w:rsidR="004F7094" w:rsidRDefault="00850FA1">
            <w:pPr>
              <w:widowControl w:val="0"/>
              <w:spacing w:before="5" w:line="240" w:lineRule="auto"/>
              <w:jc w:val="center"/>
              <w:rPr>
                <w:rFonts w:ascii="Cambria" w:eastAsia="Cambria" w:hAnsi="Cambria" w:cs="Cambria"/>
                <w:sz w:val="24"/>
                <w:szCs w:val="24"/>
              </w:rPr>
            </w:pPr>
            <w:r>
              <w:rPr>
                <w:rFonts w:ascii="Cambria" w:eastAsia="Cambria" w:hAnsi="Cambria" w:cs="Cambria"/>
                <w:sz w:val="24"/>
                <w:szCs w:val="24"/>
              </w:rPr>
              <w:t>Friday</w:t>
            </w:r>
          </w:p>
        </w:tc>
        <w:tc>
          <w:tcPr>
            <w:tcW w:w="2070" w:type="dxa"/>
          </w:tcPr>
          <w:p w14:paraId="579A6340" w14:textId="77777777" w:rsidR="004F7094" w:rsidRDefault="00850FA1">
            <w:pPr>
              <w:widowControl w:val="0"/>
              <w:spacing w:line="240" w:lineRule="auto"/>
              <w:ind w:right="690"/>
              <w:jc w:val="right"/>
              <w:rPr>
                <w:rFonts w:ascii="Cambria" w:eastAsia="Cambria" w:hAnsi="Cambria" w:cs="Cambria"/>
                <w:sz w:val="24"/>
                <w:szCs w:val="24"/>
              </w:rPr>
            </w:pPr>
            <w:r>
              <w:rPr>
                <w:rFonts w:ascii="Cambria" w:eastAsia="Cambria" w:hAnsi="Cambria" w:cs="Cambria"/>
                <w:sz w:val="24"/>
                <w:szCs w:val="24"/>
              </w:rPr>
              <w:t xml:space="preserve">Saturday </w:t>
            </w:r>
          </w:p>
        </w:tc>
        <w:tc>
          <w:tcPr>
            <w:tcW w:w="2655" w:type="dxa"/>
          </w:tcPr>
          <w:p w14:paraId="58DE61CB" w14:textId="77777777" w:rsidR="004F7094" w:rsidRDefault="00850FA1">
            <w:pPr>
              <w:widowControl w:val="0"/>
              <w:spacing w:line="240" w:lineRule="auto"/>
              <w:jc w:val="center"/>
              <w:rPr>
                <w:rFonts w:ascii="Cambria" w:eastAsia="Cambria" w:hAnsi="Cambria" w:cs="Cambria"/>
                <w:sz w:val="24"/>
                <w:szCs w:val="24"/>
              </w:rPr>
            </w:pPr>
            <w:r>
              <w:rPr>
                <w:rFonts w:ascii="Cambria" w:eastAsia="Cambria" w:hAnsi="Cambria" w:cs="Cambria"/>
                <w:sz w:val="24"/>
                <w:szCs w:val="24"/>
              </w:rPr>
              <w:t>Sunday</w:t>
            </w:r>
          </w:p>
        </w:tc>
      </w:tr>
      <w:tr w:rsidR="004F7094" w14:paraId="5FA912C0" w14:textId="77777777">
        <w:trPr>
          <w:trHeight w:val="1380"/>
        </w:trPr>
        <w:tc>
          <w:tcPr>
            <w:tcW w:w="2070" w:type="dxa"/>
          </w:tcPr>
          <w:p w14:paraId="3C5B831E" w14:textId="77777777" w:rsidR="004F7094" w:rsidRDefault="00850FA1">
            <w:pPr>
              <w:widowControl w:val="0"/>
              <w:spacing w:line="240" w:lineRule="auto"/>
              <w:ind w:left="275"/>
              <w:rPr>
                <w:rFonts w:ascii="Verdana" w:eastAsia="Verdana" w:hAnsi="Verdana" w:cs="Verdana"/>
                <w:b/>
                <w:sz w:val="18"/>
                <w:szCs w:val="18"/>
              </w:rPr>
            </w:pPr>
            <w:r>
              <w:rPr>
                <w:rFonts w:ascii="Verdana" w:eastAsia="Verdana" w:hAnsi="Verdana" w:cs="Verdana"/>
                <w:b/>
                <w:sz w:val="18"/>
                <w:szCs w:val="18"/>
              </w:rPr>
              <w:t xml:space="preserve">Location </w:t>
            </w:r>
          </w:p>
        </w:tc>
        <w:tc>
          <w:tcPr>
            <w:tcW w:w="2205" w:type="dxa"/>
          </w:tcPr>
          <w:p w14:paraId="1DC1EB05" w14:textId="77777777" w:rsidR="004F7094" w:rsidRDefault="00850FA1">
            <w:pPr>
              <w:widowControl w:val="0"/>
              <w:spacing w:line="240" w:lineRule="auto"/>
              <w:jc w:val="center"/>
              <w:rPr>
                <w:rFonts w:ascii="Cambria" w:eastAsia="Cambria" w:hAnsi="Cambria" w:cs="Cambria"/>
                <w:sz w:val="24"/>
                <w:szCs w:val="24"/>
              </w:rPr>
            </w:pPr>
            <w:r>
              <w:rPr>
                <w:rFonts w:ascii="Cambria" w:eastAsia="Cambria" w:hAnsi="Cambria" w:cs="Cambria"/>
                <w:sz w:val="24"/>
                <w:szCs w:val="24"/>
              </w:rPr>
              <w:t xml:space="preserve">Cordell Hull </w:t>
            </w:r>
          </w:p>
          <w:p w14:paraId="3361DF7B" w14:textId="77777777" w:rsidR="004F7094" w:rsidRDefault="00850FA1">
            <w:pPr>
              <w:widowControl w:val="0"/>
              <w:spacing w:before="5" w:line="240" w:lineRule="auto"/>
              <w:jc w:val="center"/>
              <w:rPr>
                <w:rFonts w:ascii="Cambria" w:eastAsia="Cambria" w:hAnsi="Cambria" w:cs="Cambria"/>
                <w:sz w:val="24"/>
                <w:szCs w:val="24"/>
              </w:rPr>
            </w:pPr>
            <w:r>
              <w:rPr>
                <w:rFonts w:ascii="Cambria" w:eastAsia="Cambria" w:hAnsi="Cambria" w:cs="Cambria"/>
                <w:sz w:val="24"/>
                <w:szCs w:val="24"/>
              </w:rPr>
              <w:t>Building</w:t>
            </w:r>
          </w:p>
        </w:tc>
        <w:tc>
          <w:tcPr>
            <w:tcW w:w="2070" w:type="dxa"/>
          </w:tcPr>
          <w:p w14:paraId="4CC74228" w14:textId="77777777" w:rsidR="004F7094" w:rsidRDefault="00850FA1">
            <w:pPr>
              <w:widowControl w:val="0"/>
              <w:spacing w:line="240" w:lineRule="auto"/>
              <w:ind w:right="448"/>
              <w:jc w:val="center"/>
              <w:rPr>
                <w:rFonts w:ascii="Cambria" w:eastAsia="Cambria" w:hAnsi="Cambria" w:cs="Cambria"/>
                <w:sz w:val="24"/>
                <w:szCs w:val="24"/>
              </w:rPr>
            </w:pPr>
            <w:r>
              <w:rPr>
                <w:rFonts w:ascii="Cambria" w:eastAsia="Cambria" w:hAnsi="Cambria" w:cs="Cambria"/>
                <w:sz w:val="24"/>
                <w:szCs w:val="24"/>
              </w:rPr>
              <w:t>Old Supreme Court Chamber, State Capitol</w:t>
            </w:r>
          </w:p>
        </w:tc>
        <w:tc>
          <w:tcPr>
            <w:tcW w:w="2655" w:type="dxa"/>
          </w:tcPr>
          <w:p w14:paraId="1341D585" w14:textId="77777777" w:rsidR="004F7094" w:rsidRDefault="00850FA1">
            <w:pPr>
              <w:widowControl w:val="0"/>
              <w:spacing w:line="240" w:lineRule="auto"/>
              <w:ind w:right="265"/>
              <w:jc w:val="center"/>
              <w:rPr>
                <w:rFonts w:ascii="Cambria" w:eastAsia="Cambria" w:hAnsi="Cambria" w:cs="Cambria"/>
                <w:sz w:val="24"/>
                <w:szCs w:val="24"/>
              </w:rPr>
            </w:pPr>
            <w:r>
              <w:rPr>
                <w:rFonts w:ascii="Cambria" w:eastAsia="Cambria" w:hAnsi="Cambria" w:cs="Cambria"/>
                <w:sz w:val="24"/>
                <w:szCs w:val="24"/>
              </w:rPr>
              <w:t>Supreme Court Building</w:t>
            </w:r>
          </w:p>
        </w:tc>
      </w:tr>
      <w:tr w:rsidR="004F7094" w14:paraId="157D1DCB" w14:textId="77777777">
        <w:trPr>
          <w:trHeight w:val="466"/>
        </w:trPr>
        <w:tc>
          <w:tcPr>
            <w:tcW w:w="2070" w:type="dxa"/>
          </w:tcPr>
          <w:p w14:paraId="74413BDE" w14:textId="77777777" w:rsidR="004F7094" w:rsidRDefault="00850FA1">
            <w:pPr>
              <w:widowControl w:val="0"/>
              <w:spacing w:line="240" w:lineRule="auto"/>
              <w:ind w:left="252"/>
              <w:rPr>
                <w:rFonts w:ascii="Verdana" w:eastAsia="Verdana" w:hAnsi="Verdana" w:cs="Verdana"/>
                <w:b/>
                <w:sz w:val="18"/>
                <w:szCs w:val="18"/>
              </w:rPr>
            </w:pPr>
            <w:r>
              <w:rPr>
                <w:rFonts w:ascii="Verdana" w:eastAsia="Verdana" w:hAnsi="Verdana" w:cs="Verdana"/>
                <w:b/>
                <w:sz w:val="18"/>
                <w:szCs w:val="18"/>
              </w:rPr>
              <w:t xml:space="preserve">Oral Arguments </w:t>
            </w:r>
            <w:proofErr w:type="gramStart"/>
            <w:r>
              <w:rPr>
                <w:rFonts w:ascii="Verdana" w:eastAsia="Verdana" w:hAnsi="Verdana" w:cs="Verdana"/>
                <w:b/>
                <w:sz w:val="18"/>
                <w:szCs w:val="18"/>
              </w:rPr>
              <w:t>As</w:t>
            </w:r>
            <w:proofErr w:type="gramEnd"/>
            <w:r>
              <w:rPr>
                <w:rFonts w:ascii="Verdana" w:eastAsia="Verdana" w:hAnsi="Verdana" w:cs="Verdana"/>
                <w:b/>
                <w:sz w:val="18"/>
                <w:szCs w:val="18"/>
              </w:rPr>
              <w:t xml:space="preserve"> Petitioner </w:t>
            </w:r>
          </w:p>
        </w:tc>
        <w:tc>
          <w:tcPr>
            <w:tcW w:w="2205" w:type="dxa"/>
          </w:tcPr>
          <w:p w14:paraId="05A2B7FA" w14:textId="77777777" w:rsidR="004F7094" w:rsidRDefault="00850FA1">
            <w:pPr>
              <w:widowControl w:val="0"/>
              <w:spacing w:line="240" w:lineRule="auto"/>
              <w:ind w:right="920"/>
              <w:jc w:val="center"/>
              <w:rPr>
                <w:rFonts w:ascii="Cambria" w:eastAsia="Cambria" w:hAnsi="Cambria" w:cs="Cambria"/>
                <w:sz w:val="24"/>
                <w:szCs w:val="24"/>
              </w:rPr>
            </w:pPr>
            <w:r>
              <w:rPr>
                <w:rFonts w:ascii="Cambria" w:eastAsia="Cambria" w:hAnsi="Cambria" w:cs="Cambria"/>
                <w:sz w:val="24"/>
                <w:szCs w:val="24"/>
              </w:rPr>
              <w:t xml:space="preserve">           2 </w:t>
            </w:r>
          </w:p>
        </w:tc>
        <w:tc>
          <w:tcPr>
            <w:tcW w:w="2070" w:type="dxa"/>
          </w:tcPr>
          <w:p w14:paraId="4E789CE7" w14:textId="77777777" w:rsidR="004F7094" w:rsidRDefault="00850FA1">
            <w:pPr>
              <w:widowControl w:val="0"/>
              <w:spacing w:line="240" w:lineRule="auto"/>
              <w:ind w:right="1075"/>
              <w:jc w:val="center"/>
              <w:rPr>
                <w:rFonts w:ascii="Cambria" w:eastAsia="Cambria" w:hAnsi="Cambria" w:cs="Cambria"/>
                <w:sz w:val="24"/>
                <w:szCs w:val="24"/>
              </w:rPr>
            </w:pPr>
            <w:r>
              <w:rPr>
                <w:rFonts w:ascii="Cambria" w:eastAsia="Cambria" w:hAnsi="Cambria" w:cs="Cambria"/>
                <w:sz w:val="24"/>
                <w:szCs w:val="24"/>
              </w:rPr>
              <w:t xml:space="preserve">          1</w:t>
            </w:r>
          </w:p>
        </w:tc>
        <w:tc>
          <w:tcPr>
            <w:tcW w:w="2655" w:type="dxa"/>
          </w:tcPr>
          <w:p w14:paraId="042834C5" w14:textId="77777777" w:rsidR="004F7094" w:rsidRDefault="00850FA1">
            <w:pPr>
              <w:widowControl w:val="0"/>
              <w:spacing w:line="240" w:lineRule="auto"/>
              <w:jc w:val="center"/>
              <w:rPr>
                <w:rFonts w:ascii="Cambria" w:eastAsia="Cambria" w:hAnsi="Cambria" w:cs="Cambria"/>
                <w:sz w:val="24"/>
                <w:szCs w:val="24"/>
              </w:rPr>
            </w:pPr>
            <w:r>
              <w:rPr>
                <w:rFonts w:ascii="Cambria" w:eastAsia="Cambria" w:hAnsi="Cambria" w:cs="Cambria"/>
                <w:sz w:val="24"/>
                <w:szCs w:val="24"/>
              </w:rPr>
              <w:t>1</w:t>
            </w:r>
          </w:p>
        </w:tc>
      </w:tr>
      <w:tr w:rsidR="004F7094" w14:paraId="6E42F324" w14:textId="77777777">
        <w:trPr>
          <w:trHeight w:val="615"/>
        </w:trPr>
        <w:tc>
          <w:tcPr>
            <w:tcW w:w="2070" w:type="dxa"/>
          </w:tcPr>
          <w:p w14:paraId="7BECBF5F" w14:textId="77777777" w:rsidR="004F7094" w:rsidRDefault="00850FA1">
            <w:pPr>
              <w:widowControl w:val="0"/>
              <w:spacing w:line="240" w:lineRule="auto"/>
              <w:rPr>
                <w:rFonts w:ascii="Verdana" w:eastAsia="Verdana" w:hAnsi="Verdana" w:cs="Verdana"/>
                <w:b/>
                <w:sz w:val="18"/>
                <w:szCs w:val="18"/>
              </w:rPr>
            </w:pPr>
            <w:r>
              <w:rPr>
                <w:rFonts w:ascii="Verdana" w:eastAsia="Verdana" w:hAnsi="Verdana" w:cs="Verdana"/>
                <w:b/>
                <w:sz w:val="18"/>
                <w:szCs w:val="18"/>
              </w:rPr>
              <w:t xml:space="preserve">Oral Arguments </w:t>
            </w:r>
            <w:proofErr w:type="gramStart"/>
            <w:r>
              <w:rPr>
                <w:rFonts w:ascii="Verdana" w:eastAsia="Verdana" w:hAnsi="Verdana" w:cs="Verdana"/>
                <w:b/>
                <w:sz w:val="18"/>
                <w:szCs w:val="18"/>
              </w:rPr>
              <w:t>As</w:t>
            </w:r>
            <w:proofErr w:type="gramEnd"/>
            <w:r>
              <w:rPr>
                <w:rFonts w:ascii="Verdana" w:eastAsia="Verdana" w:hAnsi="Verdana" w:cs="Verdana"/>
                <w:b/>
                <w:sz w:val="18"/>
                <w:szCs w:val="18"/>
              </w:rPr>
              <w:t xml:space="preserve"> Respondent</w:t>
            </w:r>
          </w:p>
        </w:tc>
        <w:tc>
          <w:tcPr>
            <w:tcW w:w="2205" w:type="dxa"/>
          </w:tcPr>
          <w:p w14:paraId="44769C6B" w14:textId="77777777" w:rsidR="004F7094" w:rsidRDefault="00850FA1">
            <w:pPr>
              <w:widowControl w:val="0"/>
              <w:spacing w:line="240" w:lineRule="auto"/>
              <w:ind w:right="920"/>
              <w:jc w:val="center"/>
              <w:rPr>
                <w:rFonts w:ascii="Cambria" w:eastAsia="Cambria" w:hAnsi="Cambria" w:cs="Cambria"/>
                <w:sz w:val="24"/>
                <w:szCs w:val="24"/>
              </w:rPr>
            </w:pPr>
            <w:r>
              <w:rPr>
                <w:rFonts w:ascii="Cambria" w:eastAsia="Cambria" w:hAnsi="Cambria" w:cs="Cambria"/>
                <w:sz w:val="24"/>
                <w:szCs w:val="24"/>
              </w:rPr>
              <w:t xml:space="preserve">          2</w:t>
            </w:r>
          </w:p>
        </w:tc>
        <w:tc>
          <w:tcPr>
            <w:tcW w:w="2070" w:type="dxa"/>
          </w:tcPr>
          <w:p w14:paraId="155B86EC" w14:textId="77777777" w:rsidR="004F7094" w:rsidRDefault="00850FA1">
            <w:pPr>
              <w:widowControl w:val="0"/>
              <w:spacing w:line="240" w:lineRule="auto"/>
              <w:ind w:right="1075"/>
              <w:jc w:val="center"/>
              <w:rPr>
                <w:rFonts w:ascii="Cambria" w:eastAsia="Cambria" w:hAnsi="Cambria" w:cs="Cambria"/>
                <w:sz w:val="24"/>
                <w:szCs w:val="24"/>
              </w:rPr>
            </w:pPr>
            <w:r>
              <w:rPr>
                <w:rFonts w:ascii="Cambria" w:eastAsia="Cambria" w:hAnsi="Cambria" w:cs="Cambria"/>
                <w:sz w:val="24"/>
                <w:szCs w:val="24"/>
              </w:rPr>
              <w:t xml:space="preserve">          1</w:t>
            </w:r>
          </w:p>
        </w:tc>
        <w:tc>
          <w:tcPr>
            <w:tcW w:w="2655" w:type="dxa"/>
          </w:tcPr>
          <w:p w14:paraId="7353BB3C" w14:textId="77777777" w:rsidR="004F7094" w:rsidRDefault="00850FA1">
            <w:pPr>
              <w:widowControl w:val="0"/>
              <w:spacing w:line="240" w:lineRule="auto"/>
              <w:jc w:val="center"/>
              <w:rPr>
                <w:rFonts w:ascii="Cambria" w:eastAsia="Cambria" w:hAnsi="Cambria" w:cs="Cambria"/>
                <w:sz w:val="24"/>
                <w:szCs w:val="24"/>
              </w:rPr>
            </w:pPr>
            <w:r>
              <w:rPr>
                <w:rFonts w:ascii="Cambria" w:eastAsia="Cambria" w:hAnsi="Cambria" w:cs="Cambria"/>
                <w:sz w:val="24"/>
                <w:szCs w:val="24"/>
              </w:rPr>
              <w:t>1</w:t>
            </w:r>
          </w:p>
        </w:tc>
      </w:tr>
      <w:tr w:rsidR="004F7094" w14:paraId="680BF3E7" w14:textId="77777777">
        <w:trPr>
          <w:trHeight w:val="645"/>
        </w:trPr>
        <w:tc>
          <w:tcPr>
            <w:tcW w:w="2070" w:type="dxa"/>
          </w:tcPr>
          <w:p w14:paraId="1976A025" w14:textId="77777777" w:rsidR="004F7094" w:rsidRDefault="00850FA1">
            <w:pPr>
              <w:widowControl w:val="0"/>
              <w:spacing w:line="240" w:lineRule="auto"/>
              <w:jc w:val="center"/>
              <w:rPr>
                <w:rFonts w:ascii="Verdana" w:eastAsia="Verdana" w:hAnsi="Verdana" w:cs="Verdana"/>
                <w:b/>
                <w:sz w:val="18"/>
                <w:szCs w:val="18"/>
              </w:rPr>
            </w:pPr>
            <w:r>
              <w:rPr>
                <w:rFonts w:ascii="Verdana" w:eastAsia="Verdana" w:hAnsi="Verdana" w:cs="Verdana"/>
                <w:b/>
                <w:sz w:val="18"/>
                <w:szCs w:val="18"/>
              </w:rPr>
              <w:t>Total Oral Arguments</w:t>
            </w:r>
          </w:p>
        </w:tc>
        <w:tc>
          <w:tcPr>
            <w:tcW w:w="2205" w:type="dxa"/>
          </w:tcPr>
          <w:p w14:paraId="76EA6CDA" w14:textId="77777777" w:rsidR="004F7094" w:rsidRDefault="00850FA1">
            <w:pPr>
              <w:widowControl w:val="0"/>
              <w:spacing w:line="240" w:lineRule="auto"/>
              <w:ind w:right="920"/>
              <w:jc w:val="center"/>
              <w:rPr>
                <w:rFonts w:ascii="Cambria" w:eastAsia="Cambria" w:hAnsi="Cambria" w:cs="Cambria"/>
                <w:sz w:val="24"/>
                <w:szCs w:val="24"/>
              </w:rPr>
            </w:pPr>
            <w:r>
              <w:rPr>
                <w:rFonts w:ascii="Cambria" w:eastAsia="Cambria" w:hAnsi="Cambria" w:cs="Cambria"/>
                <w:sz w:val="24"/>
                <w:szCs w:val="24"/>
              </w:rPr>
              <w:t xml:space="preserve">          4</w:t>
            </w:r>
          </w:p>
        </w:tc>
        <w:tc>
          <w:tcPr>
            <w:tcW w:w="2070" w:type="dxa"/>
          </w:tcPr>
          <w:p w14:paraId="1A5ED6FE" w14:textId="77777777" w:rsidR="004F7094" w:rsidRDefault="00850FA1">
            <w:pPr>
              <w:widowControl w:val="0"/>
              <w:spacing w:line="240" w:lineRule="auto"/>
              <w:ind w:right="1075"/>
              <w:jc w:val="center"/>
              <w:rPr>
                <w:rFonts w:ascii="Cambria" w:eastAsia="Cambria" w:hAnsi="Cambria" w:cs="Cambria"/>
                <w:sz w:val="24"/>
                <w:szCs w:val="24"/>
              </w:rPr>
            </w:pPr>
            <w:r>
              <w:rPr>
                <w:rFonts w:ascii="Cambria" w:eastAsia="Cambria" w:hAnsi="Cambria" w:cs="Cambria"/>
                <w:sz w:val="24"/>
                <w:szCs w:val="24"/>
              </w:rPr>
              <w:t xml:space="preserve">          2</w:t>
            </w:r>
          </w:p>
        </w:tc>
        <w:tc>
          <w:tcPr>
            <w:tcW w:w="2655" w:type="dxa"/>
          </w:tcPr>
          <w:p w14:paraId="436A820D" w14:textId="77777777" w:rsidR="004F7094" w:rsidRDefault="00850FA1">
            <w:pPr>
              <w:widowControl w:val="0"/>
              <w:spacing w:line="240" w:lineRule="auto"/>
              <w:jc w:val="center"/>
              <w:rPr>
                <w:rFonts w:ascii="Cambria" w:eastAsia="Cambria" w:hAnsi="Cambria" w:cs="Cambria"/>
                <w:sz w:val="24"/>
                <w:szCs w:val="24"/>
              </w:rPr>
            </w:pPr>
            <w:r>
              <w:rPr>
                <w:rFonts w:ascii="Cambria" w:eastAsia="Cambria" w:hAnsi="Cambria" w:cs="Cambria"/>
                <w:sz w:val="24"/>
                <w:szCs w:val="24"/>
              </w:rPr>
              <w:t>1</w:t>
            </w:r>
          </w:p>
        </w:tc>
      </w:tr>
    </w:tbl>
    <w:p w14:paraId="2D98D430" w14:textId="77777777" w:rsidR="004F7094" w:rsidRDefault="004F7094">
      <w:pPr>
        <w:widowControl w:val="0"/>
        <w:rPr>
          <w:rFonts w:ascii="Times New Roman" w:eastAsia="Times New Roman" w:hAnsi="Times New Roman" w:cs="Times New Roman"/>
        </w:rPr>
      </w:pPr>
    </w:p>
    <w:p w14:paraId="5B110529" w14:textId="77777777" w:rsidR="004F7094" w:rsidRDefault="004F7094">
      <w:pPr>
        <w:widowControl w:val="0"/>
        <w:rPr>
          <w:rFonts w:ascii="Times New Roman" w:eastAsia="Times New Roman" w:hAnsi="Times New Roman" w:cs="Times New Roman"/>
        </w:rPr>
      </w:pPr>
    </w:p>
    <w:p w14:paraId="36FFD9ED" w14:textId="77777777" w:rsidR="004F7094" w:rsidRDefault="004F7094">
      <w:pPr>
        <w:widowControl w:val="0"/>
        <w:rPr>
          <w:rFonts w:ascii="Times New Roman" w:eastAsia="Times New Roman" w:hAnsi="Times New Roman" w:cs="Times New Roman"/>
        </w:rPr>
      </w:pPr>
    </w:p>
    <w:p w14:paraId="10581F62" w14:textId="77777777" w:rsidR="004F7094" w:rsidRDefault="004F7094">
      <w:pPr>
        <w:widowControl w:val="0"/>
        <w:rPr>
          <w:rFonts w:ascii="Times New Roman" w:eastAsia="Times New Roman" w:hAnsi="Times New Roman" w:cs="Times New Roman"/>
        </w:rPr>
      </w:pPr>
    </w:p>
    <w:p w14:paraId="1FB8B49E" w14:textId="77777777" w:rsidR="004F7094" w:rsidRDefault="004F7094">
      <w:pPr>
        <w:widowControl w:val="0"/>
        <w:rPr>
          <w:rFonts w:ascii="Times New Roman" w:eastAsia="Times New Roman" w:hAnsi="Times New Roman" w:cs="Times New Roman"/>
        </w:rPr>
      </w:pPr>
    </w:p>
    <w:p w14:paraId="0BF5C5DA" w14:textId="77777777" w:rsidR="004F7094" w:rsidRDefault="004F7094">
      <w:pPr>
        <w:widowControl w:val="0"/>
        <w:rPr>
          <w:rFonts w:ascii="Times New Roman" w:eastAsia="Times New Roman" w:hAnsi="Times New Roman" w:cs="Times New Roman"/>
        </w:rPr>
      </w:pPr>
    </w:p>
    <w:p w14:paraId="6EB3F55D" w14:textId="77777777" w:rsidR="004F7094" w:rsidRDefault="004F7094">
      <w:pPr>
        <w:widowControl w:val="0"/>
        <w:rPr>
          <w:rFonts w:ascii="Times New Roman" w:eastAsia="Times New Roman" w:hAnsi="Times New Roman" w:cs="Times New Roman"/>
        </w:rPr>
      </w:pPr>
    </w:p>
    <w:p w14:paraId="08D8E155" w14:textId="77777777" w:rsidR="004F7094" w:rsidRDefault="004F7094">
      <w:pPr>
        <w:widowControl w:val="0"/>
        <w:rPr>
          <w:rFonts w:ascii="Times New Roman" w:eastAsia="Times New Roman" w:hAnsi="Times New Roman" w:cs="Times New Roman"/>
        </w:rPr>
      </w:pPr>
    </w:p>
    <w:p w14:paraId="034926C4" w14:textId="77777777" w:rsidR="004F7094" w:rsidRDefault="004F7094">
      <w:pPr>
        <w:widowControl w:val="0"/>
        <w:rPr>
          <w:rFonts w:ascii="Times New Roman" w:eastAsia="Times New Roman" w:hAnsi="Times New Roman" w:cs="Times New Roman"/>
        </w:rPr>
      </w:pPr>
    </w:p>
    <w:p w14:paraId="2860D91D" w14:textId="77777777" w:rsidR="004F7094" w:rsidRDefault="004F7094">
      <w:pPr>
        <w:widowControl w:val="0"/>
        <w:rPr>
          <w:rFonts w:ascii="Times New Roman" w:eastAsia="Times New Roman" w:hAnsi="Times New Roman" w:cs="Times New Roman"/>
        </w:rPr>
      </w:pPr>
    </w:p>
    <w:p w14:paraId="2675F1F3" w14:textId="77777777" w:rsidR="004F7094" w:rsidRDefault="004F7094">
      <w:pPr>
        <w:widowControl w:val="0"/>
        <w:rPr>
          <w:rFonts w:ascii="Times New Roman" w:eastAsia="Times New Roman" w:hAnsi="Times New Roman" w:cs="Times New Roman"/>
        </w:rPr>
      </w:pPr>
    </w:p>
    <w:p w14:paraId="15CFBB8A" w14:textId="77777777" w:rsidR="004F7094" w:rsidRDefault="004F7094">
      <w:pPr>
        <w:widowControl w:val="0"/>
        <w:rPr>
          <w:rFonts w:ascii="Times New Roman" w:eastAsia="Times New Roman" w:hAnsi="Times New Roman" w:cs="Times New Roman"/>
        </w:rPr>
      </w:pPr>
    </w:p>
    <w:p w14:paraId="5D5A62D1" w14:textId="77777777" w:rsidR="004F7094" w:rsidRDefault="004F7094">
      <w:pPr>
        <w:widowControl w:val="0"/>
        <w:rPr>
          <w:rFonts w:ascii="Times New Roman" w:eastAsia="Times New Roman" w:hAnsi="Times New Roman" w:cs="Times New Roman"/>
        </w:rPr>
      </w:pPr>
    </w:p>
    <w:p w14:paraId="6F8DC2EA" w14:textId="77777777" w:rsidR="004F7094" w:rsidRDefault="004F7094">
      <w:pPr>
        <w:widowControl w:val="0"/>
        <w:rPr>
          <w:rFonts w:ascii="Times New Roman" w:eastAsia="Times New Roman" w:hAnsi="Times New Roman" w:cs="Times New Roman"/>
        </w:rPr>
      </w:pPr>
    </w:p>
    <w:p w14:paraId="2C7B86CA" w14:textId="77777777" w:rsidR="004F7094" w:rsidRDefault="004F7094">
      <w:pPr>
        <w:widowControl w:val="0"/>
        <w:rPr>
          <w:rFonts w:ascii="Times New Roman" w:eastAsia="Times New Roman" w:hAnsi="Times New Roman" w:cs="Times New Roman"/>
        </w:rPr>
      </w:pPr>
    </w:p>
    <w:p w14:paraId="19EECFEC" w14:textId="77777777" w:rsidR="004F7094" w:rsidRDefault="004F7094">
      <w:pPr>
        <w:widowControl w:val="0"/>
        <w:rPr>
          <w:rFonts w:ascii="Times New Roman" w:eastAsia="Times New Roman" w:hAnsi="Times New Roman" w:cs="Times New Roman"/>
        </w:rPr>
      </w:pPr>
    </w:p>
    <w:p w14:paraId="79AB50B8" w14:textId="77777777" w:rsidR="004F7094" w:rsidRDefault="004F7094">
      <w:pPr>
        <w:widowControl w:val="0"/>
        <w:rPr>
          <w:rFonts w:ascii="Times New Roman" w:eastAsia="Times New Roman" w:hAnsi="Times New Roman" w:cs="Times New Roman"/>
        </w:rPr>
      </w:pPr>
    </w:p>
    <w:p w14:paraId="3C44A7B1" w14:textId="77777777" w:rsidR="004F7094" w:rsidRDefault="004F7094">
      <w:pPr>
        <w:widowControl w:val="0"/>
        <w:rPr>
          <w:rFonts w:ascii="Times New Roman" w:eastAsia="Times New Roman" w:hAnsi="Times New Roman" w:cs="Times New Roman"/>
        </w:rPr>
      </w:pPr>
    </w:p>
    <w:p w14:paraId="30E20D17" w14:textId="77777777" w:rsidR="004F7094" w:rsidRDefault="004F7094">
      <w:pPr>
        <w:widowControl w:val="0"/>
        <w:rPr>
          <w:rFonts w:ascii="Times New Roman" w:eastAsia="Times New Roman" w:hAnsi="Times New Roman" w:cs="Times New Roman"/>
        </w:rPr>
      </w:pPr>
    </w:p>
    <w:p w14:paraId="6B1CF263" w14:textId="77777777" w:rsidR="004F7094" w:rsidRDefault="004F7094">
      <w:pPr>
        <w:widowControl w:val="0"/>
        <w:rPr>
          <w:rFonts w:ascii="Times New Roman" w:eastAsia="Times New Roman" w:hAnsi="Times New Roman" w:cs="Times New Roman"/>
        </w:rPr>
      </w:pPr>
    </w:p>
    <w:p w14:paraId="508BA14C" w14:textId="77777777" w:rsidR="004F7094" w:rsidRDefault="004F7094">
      <w:pPr>
        <w:widowControl w:val="0"/>
        <w:rPr>
          <w:rFonts w:ascii="Times New Roman" w:eastAsia="Times New Roman" w:hAnsi="Times New Roman" w:cs="Times New Roman"/>
        </w:rPr>
      </w:pPr>
    </w:p>
    <w:p w14:paraId="17B7B8A7" w14:textId="77777777" w:rsidR="004F7094" w:rsidRDefault="00850FA1">
      <w:pPr>
        <w:widowControl w:val="0"/>
        <w:spacing w:after="200" w:line="240" w:lineRule="auto"/>
        <w:ind w:left="26"/>
        <w:jc w:val="center"/>
        <w:rPr>
          <w:rFonts w:ascii="Verdana" w:eastAsia="Verdana" w:hAnsi="Verdana" w:cs="Verdana"/>
          <w:b/>
          <w:sz w:val="30"/>
          <w:szCs w:val="30"/>
        </w:rPr>
      </w:pPr>
      <w:r>
        <w:rPr>
          <w:rFonts w:ascii="Verdana" w:eastAsia="Verdana" w:hAnsi="Verdana" w:cs="Verdana"/>
          <w:b/>
          <w:sz w:val="30"/>
          <w:szCs w:val="30"/>
        </w:rPr>
        <w:t xml:space="preserve">Clerk &amp; Marshall </w:t>
      </w:r>
    </w:p>
    <w:p w14:paraId="7E33A28D" w14:textId="77777777" w:rsidR="004F7094" w:rsidRDefault="00850FA1">
      <w:pPr>
        <w:widowControl w:val="0"/>
        <w:spacing w:after="200" w:line="240" w:lineRule="auto"/>
        <w:ind w:left="26"/>
        <w:rPr>
          <w:rFonts w:ascii="Times New Roman" w:eastAsia="Times New Roman" w:hAnsi="Times New Roman" w:cs="Times New Roman"/>
        </w:rPr>
      </w:pPr>
      <w:r>
        <w:rPr>
          <w:rFonts w:ascii="Times New Roman" w:eastAsia="Times New Roman" w:hAnsi="Times New Roman" w:cs="Times New Roman"/>
        </w:rPr>
        <w:t xml:space="preserve">The Court appoints the Clerk &amp; Marshall, its top officer. </w:t>
      </w:r>
    </w:p>
    <w:p w14:paraId="1DEFEACB"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The Clerk &amp; Marshall coordinates the administrative side of AMC3 and is the best source of information. </w:t>
      </w:r>
      <w:proofErr w:type="gramStart"/>
      <w:r>
        <w:rPr>
          <w:rFonts w:ascii="Times New Roman" w:eastAsia="Times New Roman" w:hAnsi="Times New Roman" w:cs="Times New Roman"/>
        </w:rPr>
        <w:t>The C</w:t>
      </w:r>
      <w:proofErr w:type="gramEnd"/>
      <w:r>
        <w:rPr>
          <w:rFonts w:ascii="Times New Roman" w:eastAsia="Times New Roman" w:hAnsi="Times New Roman" w:cs="Times New Roman"/>
        </w:rPr>
        <w:t>&amp;M will have a desk in a public space for every round.</w:t>
      </w:r>
    </w:p>
    <w:p w14:paraId="180F330F"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The Court also appoints a variety of other assistant clerks, and anyone is welcome to apply. Send </w:t>
      </w:r>
      <w:proofErr w:type="gramStart"/>
      <w:r>
        <w:rPr>
          <w:rFonts w:ascii="Times New Roman" w:eastAsia="Times New Roman" w:hAnsi="Times New Roman" w:cs="Times New Roman"/>
        </w:rPr>
        <w:t>email</w:t>
      </w:r>
      <w:proofErr w:type="gramEnd"/>
      <w:r>
        <w:rPr>
          <w:rFonts w:ascii="Times New Roman" w:eastAsia="Times New Roman" w:hAnsi="Times New Roman" w:cs="Times New Roman"/>
        </w:rPr>
        <w:t xml:space="preserve"> to filings@TISCourt.org.  </w:t>
      </w:r>
    </w:p>
    <w:p w14:paraId="1A267A9A"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At the end of each round, the Clerk &amp; Marshall will post the results in your online Control Panel.</w:t>
      </w:r>
    </w:p>
    <w:p w14:paraId="5048217C" w14:textId="77777777" w:rsidR="00186C16" w:rsidRDefault="00186C16">
      <w:pPr>
        <w:widowControl w:val="0"/>
        <w:spacing w:after="200" w:line="240" w:lineRule="auto"/>
        <w:jc w:val="center"/>
        <w:rPr>
          <w:rFonts w:ascii="Verdana" w:eastAsia="Verdana" w:hAnsi="Verdana" w:cs="Verdana"/>
          <w:b/>
          <w:sz w:val="30"/>
          <w:szCs w:val="30"/>
        </w:rPr>
      </w:pPr>
    </w:p>
    <w:p w14:paraId="0AFD71D6" w14:textId="77777777" w:rsidR="00186C16" w:rsidRDefault="00186C16">
      <w:pPr>
        <w:widowControl w:val="0"/>
        <w:spacing w:after="200" w:line="240" w:lineRule="auto"/>
        <w:jc w:val="center"/>
        <w:rPr>
          <w:rFonts w:ascii="Verdana" w:eastAsia="Verdana" w:hAnsi="Verdana" w:cs="Verdana"/>
          <w:b/>
          <w:sz w:val="30"/>
          <w:szCs w:val="30"/>
        </w:rPr>
      </w:pPr>
    </w:p>
    <w:p w14:paraId="513A299B" w14:textId="3804C555" w:rsidR="004F7094" w:rsidRDefault="00850FA1">
      <w:pPr>
        <w:widowControl w:val="0"/>
        <w:spacing w:after="200" w:line="240" w:lineRule="auto"/>
        <w:jc w:val="center"/>
        <w:rPr>
          <w:rFonts w:ascii="Verdana" w:eastAsia="Verdana" w:hAnsi="Verdana" w:cs="Verdana"/>
          <w:b/>
          <w:sz w:val="30"/>
          <w:szCs w:val="30"/>
        </w:rPr>
      </w:pPr>
      <w:r>
        <w:rPr>
          <w:rFonts w:ascii="Verdana" w:eastAsia="Verdana" w:hAnsi="Verdana" w:cs="Verdana"/>
          <w:b/>
          <w:sz w:val="30"/>
          <w:szCs w:val="30"/>
        </w:rPr>
        <w:t xml:space="preserve">Highlights </w:t>
      </w:r>
    </w:p>
    <w:p w14:paraId="2034970E" w14:textId="6CBF9E79"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Students who wish to serve on the Supreme Court should apply at the beginning of the fall semester for a one-year term that will begin in November. </w:t>
      </w:r>
      <w:proofErr w:type="gramStart"/>
      <w:r>
        <w:rPr>
          <w:rFonts w:ascii="Times New Roman" w:eastAsia="Times New Roman" w:hAnsi="Times New Roman" w:cs="Times New Roman"/>
        </w:rPr>
        <w:t>A justice</w:t>
      </w:r>
      <w:proofErr w:type="gramEnd"/>
      <w:r>
        <w:rPr>
          <w:rFonts w:ascii="Times New Roman" w:eastAsia="Times New Roman" w:hAnsi="Times New Roman" w:cs="Times New Roman"/>
        </w:rPr>
        <w:t xml:space="preserve"> may serve up to three terms. </w:t>
      </w:r>
    </w:p>
    <w:p w14:paraId="1C93C682"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Students who are interested in serving as a justice on the Supreme Court should also apply to serve as a magistrate in the year they apply for the Court. Magistrates sit alongside justices in the preliminary rounds and help to question the lawyers about the case. </w:t>
      </w:r>
    </w:p>
    <w:p w14:paraId="6C333B92"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All TISL delegates benefit from attending one of our free regional workshops in September and October. The workshop schedule is at www.TISLonline.org and on our social media. </w:t>
      </w:r>
    </w:p>
    <w:p w14:paraId="5F6333D1" w14:textId="77777777" w:rsidR="00186C16" w:rsidRDefault="00186C16">
      <w:pPr>
        <w:widowControl w:val="0"/>
        <w:spacing w:after="200" w:line="240" w:lineRule="auto"/>
        <w:jc w:val="center"/>
        <w:rPr>
          <w:rFonts w:ascii="Verdana" w:eastAsia="Verdana" w:hAnsi="Verdana" w:cs="Verdana"/>
          <w:b/>
          <w:sz w:val="30"/>
          <w:szCs w:val="30"/>
        </w:rPr>
      </w:pPr>
    </w:p>
    <w:p w14:paraId="048141C9" w14:textId="3949CDA6" w:rsidR="004F7094" w:rsidRDefault="00850FA1">
      <w:pPr>
        <w:widowControl w:val="0"/>
        <w:spacing w:after="200" w:line="240" w:lineRule="auto"/>
        <w:jc w:val="center"/>
        <w:rPr>
          <w:rFonts w:ascii="Verdana" w:eastAsia="Verdana" w:hAnsi="Verdana" w:cs="Verdana"/>
          <w:b/>
          <w:sz w:val="30"/>
          <w:szCs w:val="30"/>
        </w:rPr>
      </w:pPr>
      <w:r>
        <w:rPr>
          <w:rFonts w:ascii="Verdana" w:eastAsia="Verdana" w:hAnsi="Verdana" w:cs="Verdana"/>
          <w:b/>
          <w:sz w:val="30"/>
          <w:szCs w:val="30"/>
        </w:rPr>
        <w:lastRenderedPageBreak/>
        <w:t xml:space="preserve">Historic Venues </w:t>
      </w:r>
    </w:p>
    <w:p w14:paraId="6DC5654D" w14:textId="77777777" w:rsidR="004F7094" w:rsidRDefault="00850FA1">
      <w:pPr>
        <w:widowControl w:val="0"/>
        <w:spacing w:after="20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Semifinals</w:t>
      </w:r>
    </w:p>
    <w:p w14:paraId="48CC3E66"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Semifinals are held in the Old Supreme Court Chamber. The Old Supreme Court Chamber in the Capitol was used by the Tennessee Supreme Court to hear cases and deliver decisions of the Court for more than 70 years from the completion of the Capitol in 1859 until 1937 when the Supreme Court Building opened. </w:t>
      </w:r>
    </w:p>
    <w:p w14:paraId="5E82999B" w14:textId="77777777" w:rsidR="004F7094" w:rsidRDefault="004F7094">
      <w:pPr>
        <w:widowControl w:val="0"/>
        <w:spacing w:after="200" w:line="240" w:lineRule="auto"/>
        <w:rPr>
          <w:rFonts w:ascii="Times New Roman" w:eastAsia="Times New Roman" w:hAnsi="Times New Roman" w:cs="Times New Roman"/>
        </w:rPr>
      </w:pPr>
    </w:p>
    <w:p w14:paraId="534BC53F" w14:textId="77777777" w:rsidR="004F7094" w:rsidRDefault="00850FA1">
      <w:pPr>
        <w:widowControl w:val="0"/>
        <w:spacing w:after="20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Final Round</w:t>
      </w:r>
    </w:p>
    <w:p w14:paraId="1CDAD7FB"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Our final round is held in the Supreme Court Building! The Tennessee Supreme Court Building opened in 1937. The building is on the National Register of Historic Places. Three courts convene here: the Tennessee Supreme Court, the Court of Appeals (civil) and the Court of Criminal Appeals. </w:t>
      </w:r>
    </w:p>
    <w:p w14:paraId="129C86B6" w14:textId="77777777" w:rsidR="004F7094" w:rsidRDefault="00850FA1">
      <w:pPr>
        <w:widowControl w:val="0"/>
        <w:spacing w:after="200" w:line="240" w:lineRule="auto"/>
        <w:jc w:val="center"/>
        <w:rPr>
          <w:rFonts w:ascii="Verdana" w:eastAsia="Verdana" w:hAnsi="Verdana" w:cs="Verdana"/>
          <w:b/>
          <w:sz w:val="30"/>
          <w:szCs w:val="30"/>
        </w:rPr>
      </w:pPr>
      <w:r>
        <w:rPr>
          <w:rFonts w:ascii="Verdana" w:eastAsia="Verdana" w:hAnsi="Verdana" w:cs="Verdana"/>
          <w:b/>
          <w:sz w:val="30"/>
          <w:szCs w:val="30"/>
        </w:rPr>
        <w:t>Tips for Lawyers</w:t>
      </w:r>
    </w:p>
    <w:p w14:paraId="19E8B562"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You are strongly encouraged to read the Rules closely. Rule violations can affect your team’s score. </w:t>
      </w:r>
    </w:p>
    <w:p w14:paraId="0F832C19"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Anxiety before you speak is normal. A few deep breaths can help settle your nerves. </w:t>
      </w:r>
    </w:p>
    <w:p w14:paraId="363F771A"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The Petitioner may reserve up to seven minutes for rebuttal after the Respondent speaks, and it is strongly recommended that you reserve at least a </w:t>
      </w:r>
      <w:r>
        <w:rPr>
          <w:rFonts w:ascii="Times New Roman" w:eastAsia="Times New Roman" w:hAnsi="Times New Roman" w:cs="Times New Roman"/>
        </w:rPr>
        <w:t xml:space="preserve">few minutes for rebuttal. </w:t>
      </w:r>
    </w:p>
    <w:p w14:paraId="3BC8E6E1"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Begin your remarks with “May It Please the Court, I am [your name] for the Petitioner/Respondent.” </w:t>
      </w:r>
    </w:p>
    <w:p w14:paraId="254E15B0"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Project your voice to be easily heard, but don’t be overdramatic. Speak slowly enough for people to comprehend you. Remain in one place while </w:t>
      </w:r>
      <w:proofErr w:type="gramStart"/>
      <w:r>
        <w:rPr>
          <w:rFonts w:ascii="Times New Roman" w:eastAsia="Times New Roman" w:hAnsi="Times New Roman" w:cs="Times New Roman"/>
        </w:rPr>
        <w:t>speaking, and</w:t>
      </w:r>
      <w:proofErr w:type="gramEnd"/>
      <w:r>
        <w:rPr>
          <w:rFonts w:ascii="Times New Roman" w:eastAsia="Times New Roman" w:hAnsi="Times New Roman" w:cs="Times New Roman"/>
        </w:rPr>
        <w:t xml:space="preserve"> avoid wild movements or dramatic shouting. You are speaking to judges who know the law, not a jury. </w:t>
      </w:r>
    </w:p>
    <w:p w14:paraId="3FA2D382"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A strong argument relies heavily on frequently referring to cases and having an in-depth understanding of them. </w:t>
      </w:r>
    </w:p>
    <w:p w14:paraId="64990282"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Justices are likely to interrupt you with questions while you give your argument. The difficulty of the questions will increase as you move up in the competition. </w:t>
      </w:r>
    </w:p>
    <w:p w14:paraId="5D021EB9"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Questions pertain to the case, case authorities, statutes and regulations, and your oral arguments. Judges are trying to engage in a conversation to better understand your case. </w:t>
      </w:r>
    </w:p>
    <w:p w14:paraId="356195D2"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When asked a question, you should immediately stop speaking and answer. Do not continue with your argument until the Justice </w:t>
      </w:r>
      <w:proofErr w:type="gramStart"/>
      <w:r>
        <w:rPr>
          <w:rFonts w:ascii="Times New Roman" w:eastAsia="Times New Roman" w:hAnsi="Times New Roman" w:cs="Times New Roman"/>
        </w:rPr>
        <w:t>is</w:t>
      </w:r>
      <w:proofErr w:type="gramEnd"/>
      <w:r>
        <w:rPr>
          <w:rFonts w:ascii="Times New Roman" w:eastAsia="Times New Roman" w:hAnsi="Times New Roman" w:cs="Times New Roman"/>
        </w:rPr>
        <w:t xml:space="preserve"> finished asking questions. </w:t>
      </w:r>
    </w:p>
    <w:p w14:paraId="7BBD615E"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If you are unsure if they are finished, ask if you may proceed. Remember to always refer to the Justices as “Your Honor.” </w:t>
      </w:r>
    </w:p>
    <w:p w14:paraId="2B4D4950" w14:textId="77777777" w:rsidR="004F7094" w:rsidRDefault="00850FA1">
      <w:pPr>
        <w:widowControl w:val="0"/>
        <w:spacing w:after="200" w:line="240" w:lineRule="auto"/>
        <w:rPr>
          <w:rFonts w:ascii="Times New Roman" w:eastAsia="Times New Roman" w:hAnsi="Times New Roman" w:cs="Times New Roman"/>
        </w:rPr>
      </w:pPr>
      <w:r>
        <w:br w:type="page"/>
      </w:r>
    </w:p>
    <w:p w14:paraId="4F0246C5" w14:textId="77777777" w:rsidR="004F7094" w:rsidRDefault="004F7094">
      <w:pPr>
        <w:widowControl w:val="0"/>
        <w:spacing w:after="200" w:line="240" w:lineRule="auto"/>
        <w:rPr>
          <w:rFonts w:ascii="Times New Roman" w:eastAsia="Times New Roman" w:hAnsi="Times New Roman" w:cs="Times New Roman"/>
        </w:rPr>
        <w:sectPr w:rsidR="004F7094">
          <w:type w:val="continuous"/>
          <w:pgSz w:w="12240" w:h="15840"/>
          <w:pgMar w:top="1440" w:right="1440" w:bottom="1440" w:left="1080" w:header="720" w:footer="720" w:gutter="0"/>
          <w:cols w:num="2" w:space="720" w:equalWidth="0">
            <w:col w:w="4500" w:space="720"/>
            <w:col w:w="4500" w:space="0"/>
          </w:cols>
        </w:sectPr>
      </w:pPr>
    </w:p>
    <w:p w14:paraId="2561E310" w14:textId="77777777" w:rsidR="004F7094" w:rsidRDefault="00850FA1">
      <w:pPr>
        <w:widowControl w:val="0"/>
        <w:spacing w:after="200" w:line="240" w:lineRule="auto"/>
        <w:jc w:val="center"/>
        <w:rPr>
          <w:rFonts w:ascii="Times New Roman" w:eastAsia="Times New Roman" w:hAnsi="Times New Roman" w:cs="Times New Roman"/>
          <w:sz w:val="42"/>
          <w:szCs w:val="42"/>
        </w:rPr>
        <w:sectPr w:rsidR="004F7094">
          <w:type w:val="continuous"/>
          <w:pgSz w:w="12240" w:h="15840"/>
          <w:pgMar w:top="1440" w:right="1440" w:bottom="1440" w:left="1080" w:header="720" w:footer="720" w:gutter="0"/>
          <w:cols w:space="720" w:equalWidth="0">
            <w:col w:w="9720" w:space="0"/>
          </w:cols>
        </w:sectPr>
      </w:pPr>
      <w:r>
        <w:rPr>
          <w:rFonts w:ascii="Verdana" w:eastAsia="Verdana" w:hAnsi="Verdana" w:cs="Verdana"/>
          <w:b/>
          <w:sz w:val="42"/>
          <w:szCs w:val="42"/>
        </w:rPr>
        <w:lastRenderedPageBreak/>
        <w:t xml:space="preserve">THE PROBLEM </w:t>
      </w:r>
    </w:p>
    <w:p w14:paraId="361E4C7C" w14:textId="63BEDA31" w:rsidR="00EA4A42" w:rsidRPr="00EA4A42" w:rsidRDefault="00EA4A42" w:rsidP="0051036A">
      <w:pPr>
        <w:widowControl w:val="0"/>
        <w:spacing w:after="200" w:line="240" w:lineRule="auto"/>
        <w:ind w:firstLine="720"/>
        <w:rPr>
          <w:rFonts w:ascii="Times New Roman" w:hAnsi="Times New Roman" w:cs="Times New Roman"/>
          <w:lang w:val="en-US"/>
        </w:rPr>
      </w:pPr>
      <w:r w:rsidRPr="00EA4A42">
        <w:rPr>
          <w:rFonts w:ascii="Times New Roman" w:hAnsi="Times New Roman" w:cs="Times New Roman"/>
          <w:lang w:val="en-US"/>
        </w:rPr>
        <w:t xml:space="preserve">This discussion focuses on Irene Fletcher (“Fletcher”), a reporter with 500,000 YouTube subscribers, 400,000 Instagram followers, and 300,000 followers on X, formerly known as “Twitter.” She first started her platform on YouTube filming </w:t>
      </w:r>
      <w:proofErr w:type="spellStart"/>
      <w:r w:rsidRPr="00EA4A42">
        <w:rPr>
          <w:rFonts w:ascii="Times New Roman" w:hAnsi="Times New Roman" w:cs="Times New Roman"/>
          <w:i/>
          <w:iCs/>
          <w:lang w:val="en-US"/>
        </w:rPr>
        <w:t>mukbangs</w:t>
      </w:r>
      <w:proofErr w:type="spellEnd"/>
      <w:r w:rsidRPr="00EA4A42">
        <w:rPr>
          <w:rFonts w:ascii="Times New Roman" w:hAnsi="Times New Roman" w:cs="Times New Roman"/>
          <w:lang w:val="en-US"/>
        </w:rPr>
        <w:t>, where she would find current, interesting news articles and talk about them to her audience while eating food. Gaining traction in 2018, she rebranded to the channel name “@</w:t>
      </w:r>
      <w:proofErr w:type="spellStart"/>
      <w:r w:rsidRPr="00EA4A42">
        <w:rPr>
          <w:rFonts w:ascii="Times New Roman" w:hAnsi="Times New Roman" w:cs="Times New Roman"/>
          <w:lang w:val="en-US"/>
        </w:rPr>
        <w:t>thefirstofus</w:t>
      </w:r>
      <w:proofErr w:type="spellEnd"/>
      <w:r w:rsidRPr="00EA4A42">
        <w:rPr>
          <w:rFonts w:ascii="Times New Roman" w:hAnsi="Times New Roman" w:cs="Times New Roman"/>
          <w:lang w:val="en-US"/>
        </w:rPr>
        <w:t>” (“I want my followers to be the first of us to learn new information and share it with others so we can all be informed!”) and began inviting the subjects of those news articles onto a now high-quality production, live eating YouTube show, where she interviews them over a meal. In addition to her YouTube channel, she posts summaries of the content obtained from these interviews on Instagram and Twitter in the hope that she can educate her younger audience about the importance of being politically active and spread awareness of current events.</w:t>
      </w:r>
    </w:p>
    <w:p w14:paraId="2D036892" w14:textId="3ABAE70C" w:rsidR="00EA4A42" w:rsidRPr="00EA4A42" w:rsidRDefault="00EA4A42" w:rsidP="0051036A">
      <w:pPr>
        <w:widowControl w:val="0"/>
        <w:spacing w:after="200" w:line="240" w:lineRule="auto"/>
        <w:ind w:firstLine="720"/>
        <w:rPr>
          <w:rFonts w:ascii="Times New Roman" w:hAnsi="Times New Roman" w:cs="Times New Roman"/>
          <w:lang w:val="en-US"/>
        </w:rPr>
      </w:pPr>
      <w:r w:rsidRPr="00EA4A42">
        <w:rPr>
          <w:rFonts w:ascii="Times New Roman" w:hAnsi="Times New Roman" w:cs="Times New Roman"/>
          <w:lang w:val="en-US"/>
        </w:rPr>
        <w:t>About halfway into her interviews, Fletcher takes a break to play a game with her guests, which allows her viewers (who can type comments concurrently) to get to know the interviewees better. One such game is called “Truth or Drink (hot sauce),” where, as the name suggests, Fletcher asks questions to which her guests may opt to either answer or drink hot sauce.</w:t>
      </w:r>
    </w:p>
    <w:p w14:paraId="11CB8430" w14:textId="3E8F6CD2" w:rsidR="00EA4A42" w:rsidRPr="00EA4A42" w:rsidRDefault="00EA4A42" w:rsidP="0051036A">
      <w:pPr>
        <w:widowControl w:val="0"/>
        <w:spacing w:after="200" w:line="240" w:lineRule="auto"/>
        <w:ind w:firstLine="720"/>
        <w:rPr>
          <w:rFonts w:ascii="Times New Roman" w:hAnsi="Times New Roman" w:cs="Times New Roman"/>
          <w:lang w:val="en-US"/>
        </w:rPr>
      </w:pPr>
      <w:r w:rsidRPr="00EA4A42">
        <w:rPr>
          <w:rFonts w:ascii="Times New Roman" w:hAnsi="Times New Roman" w:cs="Times New Roman"/>
          <w:lang w:val="en-US"/>
        </w:rPr>
        <w:t>The guest during one such “Truth or Drink (hot sauce)” segment was Senator Stanwyk, who came onto Fletcher’s platform to discuss his upcoming campaign for reelection. The last question asked of him was, “Have you ever accepted a bribe,” to which Stanwyk laughed and said, “Of course not.” Fletcher and Stanwyk continued with the interview, and after the live session was over, the video was published onto Fletcher’s YouTube channel on November 9, 2020.</w:t>
      </w:r>
    </w:p>
    <w:p w14:paraId="1E23B0C8" w14:textId="01768A02" w:rsidR="00EA4A42" w:rsidRPr="00EA4A42" w:rsidRDefault="00EA4A42" w:rsidP="00EA4A42">
      <w:pPr>
        <w:widowControl w:val="0"/>
        <w:spacing w:after="200" w:line="240" w:lineRule="auto"/>
        <w:rPr>
          <w:rFonts w:ascii="Times New Roman" w:hAnsi="Times New Roman" w:cs="Times New Roman"/>
          <w:lang w:val="en-US"/>
        </w:rPr>
      </w:pPr>
      <w:r w:rsidRPr="00EA4A42">
        <w:rPr>
          <w:rFonts w:ascii="Times New Roman" w:hAnsi="Times New Roman" w:cs="Times New Roman"/>
          <w:lang w:val="en-US"/>
        </w:rPr>
        <w:tab/>
        <w:t xml:space="preserve">A few months later, Fletcher was reading through the comments on her live feed from that video and saw one from an anonymous user called “Firefly4Lyfe” who wrote, “That is a lie. I know that for a fact,” at the timestamp where Stanwyk said he did not accept a bribe. After privately messaging the user and inquiring further, Fletcher eventually met with the source, who showed Fletcher a video of the senator allegedly engaging in conduct related to bribery. Fletcher took notes of what she observed occurring in the video. </w:t>
      </w:r>
    </w:p>
    <w:p w14:paraId="231DC9DE" w14:textId="0D4C54E9" w:rsidR="00EA4A42" w:rsidRPr="00EA4A42" w:rsidRDefault="00EA4A42" w:rsidP="00EA4A42">
      <w:pPr>
        <w:widowControl w:val="0"/>
        <w:spacing w:after="200" w:line="240" w:lineRule="auto"/>
        <w:rPr>
          <w:rFonts w:ascii="Times New Roman" w:hAnsi="Times New Roman" w:cs="Times New Roman"/>
          <w:lang w:val="en-US"/>
        </w:rPr>
      </w:pPr>
      <w:r w:rsidRPr="00EA4A42">
        <w:rPr>
          <w:rFonts w:ascii="Times New Roman" w:hAnsi="Times New Roman" w:cs="Times New Roman"/>
          <w:lang w:val="en-US"/>
        </w:rPr>
        <w:tab/>
        <w:t xml:space="preserve">During this same time, a grand jury indicted Stanwyk on March 15, 2021, for bribery. Shortly after, Fletcher posted a tweet confirming Firefly4Lyfe’s claim and proceeded to host an Instagram live, where she explained to her viewers, without too much detail, that the source had worked in </w:t>
      </w:r>
      <w:proofErr w:type="spellStart"/>
      <w:r w:rsidRPr="00EA4A42">
        <w:rPr>
          <w:rFonts w:ascii="Times New Roman" w:hAnsi="Times New Roman" w:cs="Times New Roman"/>
          <w:lang w:val="en-US"/>
        </w:rPr>
        <w:t>Stanwyk’s</w:t>
      </w:r>
      <w:proofErr w:type="spellEnd"/>
      <w:r w:rsidRPr="00EA4A42">
        <w:rPr>
          <w:rFonts w:ascii="Times New Roman" w:hAnsi="Times New Roman" w:cs="Times New Roman"/>
          <w:lang w:val="en-US"/>
        </w:rPr>
        <w:t xml:space="preserve"> office during his previous campaign, and that Fletcher had watched a video through that source, where Stanwyk was making promises to corporations in exchange for money. </w:t>
      </w:r>
    </w:p>
    <w:p w14:paraId="48D61F4B" w14:textId="77777777" w:rsidR="00EA4A42" w:rsidRPr="00EA4A42" w:rsidRDefault="00EA4A42" w:rsidP="00EA4A42">
      <w:pPr>
        <w:widowControl w:val="0"/>
        <w:spacing w:after="200" w:line="240" w:lineRule="auto"/>
        <w:rPr>
          <w:rFonts w:ascii="Times New Roman" w:hAnsi="Times New Roman" w:cs="Times New Roman"/>
          <w:lang w:val="en-US"/>
        </w:rPr>
      </w:pPr>
      <w:r w:rsidRPr="00EA4A42">
        <w:rPr>
          <w:rFonts w:ascii="Times New Roman" w:hAnsi="Times New Roman" w:cs="Times New Roman"/>
          <w:lang w:val="en-US"/>
        </w:rPr>
        <w:t> </w:t>
      </w:r>
      <w:r w:rsidRPr="00EA4A42">
        <w:rPr>
          <w:rFonts w:ascii="Times New Roman" w:hAnsi="Times New Roman" w:cs="Times New Roman"/>
          <w:lang w:val="en-US"/>
        </w:rPr>
        <w:tab/>
        <w:t>In preparation for the trial, the State met with Fletcher to discuss what evidence she possessed. The State asked for the name of Fletcher’s source, but Fletcher refused to give it. The State then attempted to reach out to Firefly4Lyfe directly but received no response. As a result, the State served a subpoena on Fletcher, seeking her notes and trial testimony about the video and her source. On July 2, 2022, Fletcher filed a motion to quash the subpoena claiming she is protected by a journalist privilege under the First Amendment and by Tennessee’s shield law, Tenn. Code Ann. § 24-1-208.  Fletcher and the State stipulated that, for purposes of the shield law, there is probable cause to believe Firefly4Lyfe has information which is clearly relevant to the bribery prosecution and that the State has a compelling and overriding public interest in that information.</w:t>
      </w:r>
    </w:p>
    <w:p w14:paraId="780BB69E" w14:textId="77777777" w:rsidR="004B76C0" w:rsidRDefault="004B76C0">
      <w:pPr>
        <w:widowControl w:val="0"/>
        <w:spacing w:after="200" w:line="240" w:lineRule="auto"/>
        <w:sectPr w:rsidR="004B76C0" w:rsidSect="004B76C0">
          <w:type w:val="continuous"/>
          <w:pgSz w:w="12240" w:h="15840"/>
          <w:pgMar w:top="1440" w:right="1440" w:bottom="1440" w:left="1080" w:header="720" w:footer="720" w:gutter="0"/>
          <w:cols w:space="720"/>
        </w:sectPr>
      </w:pPr>
    </w:p>
    <w:p w14:paraId="37509B14" w14:textId="77777777" w:rsidR="004F7094" w:rsidRDefault="00850FA1">
      <w:pPr>
        <w:widowControl w:val="0"/>
        <w:spacing w:after="200" w:line="240" w:lineRule="auto"/>
        <w:rPr>
          <w:rFonts w:ascii="Times New Roman" w:eastAsia="Times New Roman" w:hAnsi="Times New Roman" w:cs="Times New Roman"/>
        </w:rPr>
      </w:pPr>
      <w:r>
        <w:br w:type="page"/>
      </w:r>
    </w:p>
    <w:p w14:paraId="2A5A25EF" w14:textId="77777777" w:rsidR="004F7094" w:rsidRDefault="004F7094">
      <w:pPr>
        <w:widowControl w:val="0"/>
        <w:spacing w:after="200" w:line="240" w:lineRule="auto"/>
        <w:rPr>
          <w:rFonts w:ascii="Verdana" w:eastAsia="Verdana" w:hAnsi="Verdana" w:cs="Verdana"/>
          <w:b/>
          <w:sz w:val="28"/>
          <w:szCs w:val="28"/>
        </w:rPr>
        <w:sectPr w:rsidR="004F7094">
          <w:type w:val="continuous"/>
          <w:pgSz w:w="12240" w:h="15840"/>
          <w:pgMar w:top="1440" w:right="1440" w:bottom="1440" w:left="1080" w:header="720" w:footer="720" w:gutter="0"/>
          <w:cols w:num="2" w:space="720" w:equalWidth="0">
            <w:col w:w="4500" w:space="720"/>
            <w:col w:w="4500" w:space="0"/>
          </w:cols>
        </w:sectPr>
      </w:pPr>
    </w:p>
    <w:p w14:paraId="5F6E093B" w14:textId="77777777" w:rsidR="004F7094" w:rsidRDefault="00850FA1">
      <w:pPr>
        <w:widowControl w:val="0"/>
        <w:spacing w:after="200" w:line="240" w:lineRule="auto"/>
        <w:jc w:val="center"/>
        <w:rPr>
          <w:rFonts w:ascii="Verdana" w:eastAsia="Verdana" w:hAnsi="Verdana" w:cs="Verdana"/>
          <w:b/>
          <w:sz w:val="30"/>
          <w:szCs w:val="30"/>
        </w:rPr>
        <w:sectPr w:rsidR="004F7094">
          <w:type w:val="continuous"/>
          <w:pgSz w:w="12240" w:h="15840"/>
          <w:pgMar w:top="1440" w:right="1440" w:bottom="1440" w:left="1080" w:header="720" w:footer="720" w:gutter="0"/>
          <w:cols w:num="2" w:space="720" w:equalWidth="0">
            <w:col w:w="4500" w:space="720"/>
            <w:col w:w="4500" w:space="0"/>
          </w:cols>
        </w:sectPr>
      </w:pPr>
      <w:r>
        <w:rPr>
          <w:rFonts w:ascii="Verdana" w:eastAsia="Verdana" w:hAnsi="Verdana" w:cs="Verdana"/>
          <w:b/>
          <w:sz w:val="30"/>
          <w:szCs w:val="30"/>
        </w:rPr>
        <w:lastRenderedPageBreak/>
        <w:t>Rules</w:t>
      </w:r>
    </w:p>
    <w:p w14:paraId="1B64FA3F"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u w:val="single"/>
        </w:rPr>
        <w:t>Team</w:t>
      </w:r>
      <w:r>
        <w:rPr>
          <w:rFonts w:ascii="Times New Roman" w:eastAsia="Times New Roman" w:hAnsi="Times New Roman" w:cs="Times New Roman"/>
        </w:rPr>
        <w:t xml:space="preserve">. A team is two to five students currently enrolled at an institution of higher education that’s qualified to participate in TISL. Under extenuating circumstances, the Court, by a four-fifths vote, can allow a one-member team, but the Court may also reduce that team’s score appropriately to maintain competitive fairness. </w:t>
      </w:r>
    </w:p>
    <w:p w14:paraId="0BE10640"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u w:val="single"/>
        </w:rPr>
        <w:t>Eligibility of participants</w:t>
      </w:r>
      <w:r>
        <w:rPr>
          <w:rFonts w:ascii="Times New Roman" w:eastAsia="Times New Roman" w:hAnsi="Times New Roman" w:cs="Times New Roman"/>
        </w:rPr>
        <w:t xml:space="preserve">. Any college student from an eligible college, unless currently or previously enrolled in a college of law or other graduate programs, is eligible to participate. Only one team per school is allowed to participate. </w:t>
      </w:r>
    </w:p>
    <w:p w14:paraId="52B9840A"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u w:val="single"/>
        </w:rPr>
        <w:t>Conduct Standards</w:t>
      </w:r>
      <w:r>
        <w:rPr>
          <w:rFonts w:ascii="Times New Roman" w:eastAsia="Times New Roman" w:hAnsi="Times New Roman" w:cs="Times New Roman"/>
        </w:rPr>
        <w:t xml:space="preserve">. Each participant shall, during appellate hearings and all other times during the AMC3 competition, conduct himself/herself following the highest standards of decorum, honesty, integrity, and ethical behavior. </w:t>
      </w:r>
      <w:proofErr w:type="spellStart"/>
      <w:r>
        <w:rPr>
          <w:rFonts w:ascii="Times New Roman" w:eastAsia="Times New Roman" w:hAnsi="Times New Roman" w:cs="Times New Roman"/>
        </w:rPr>
        <w:t>He/She</w:t>
      </w:r>
      <w:proofErr w:type="spellEnd"/>
      <w:r>
        <w:rPr>
          <w:rFonts w:ascii="Times New Roman" w:eastAsia="Times New Roman" w:hAnsi="Times New Roman" w:cs="Times New Roman"/>
        </w:rPr>
        <w:t xml:space="preserve"> shall be courteous to all AMC3 participants, coaches, officials, judges, and visitors. </w:t>
      </w:r>
    </w:p>
    <w:p w14:paraId="320B55B7" w14:textId="77777777" w:rsidR="004F7094" w:rsidRDefault="00850FA1">
      <w:pPr>
        <w:widowControl w:val="0"/>
        <w:spacing w:after="200" w:line="240" w:lineRule="auto"/>
        <w:jc w:val="center"/>
        <w:rPr>
          <w:rFonts w:ascii="Verdana" w:eastAsia="Verdana" w:hAnsi="Verdana" w:cs="Verdana"/>
          <w:b/>
          <w:sz w:val="30"/>
          <w:szCs w:val="30"/>
        </w:rPr>
      </w:pPr>
      <w:r>
        <w:rPr>
          <w:rFonts w:ascii="Verdana" w:eastAsia="Verdana" w:hAnsi="Verdana" w:cs="Verdana"/>
          <w:b/>
          <w:sz w:val="30"/>
          <w:szCs w:val="30"/>
        </w:rPr>
        <w:t xml:space="preserve">PRELIMINARY, SEMIFINAL, AND FINAL APPELLATE HEARINGS </w:t>
      </w:r>
    </w:p>
    <w:p w14:paraId="77E41E66"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u w:val="single"/>
        </w:rPr>
        <w:t>Number of Rounds</w:t>
      </w:r>
      <w:r>
        <w:rPr>
          <w:rFonts w:ascii="Times New Roman" w:eastAsia="Times New Roman" w:hAnsi="Times New Roman" w:cs="Times New Roman"/>
        </w:rPr>
        <w:t xml:space="preserve">. The AMC3 competition consists of four preliminary appellate hearings for each team. There will also be semifinal appellate hearings and final championship appellate hearings. The Tennessee Intercollegiate Supreme Court shall schedule hearings. </w:t>
      </w:r>
    </w:p>
    <w:p w14:paraId="056F35DB"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u w:val="single"/>
        </w:rPr>
        <w:t>Appellate Hearing</w:t>
      </w:r>
      <w:r>
        <w:rPr>
          <w:rFonts w:ascii="Times New Roman" w:eastAsia="Times New Roman" w:hAnsi="Times New Roman" w:cs="Times New Roman"/>
        </w:rPr>
        <w:t xml:space="preserve">. An appellate hearing is an oral argument totaling forty (40) minutes by the Petitioner and Respondent teams. Two lawyers for the Petitioner will begin by presenting for up to 10 minutes each. The Petitioner may reserve up to seven minutes for rebuttal after the Respondent’s lawyers. After the Petitioner, two lawyers for the Respondent will speak for up to 10 minutes each. If only one team member is available to argue, the round is forfeited unless granted an exception. All time limits include questions by the judges. </w:t>
      </w:r>
    </w:p>
    <w:p w14:paraId="1671BD58" w14:textId="77777777" w:rsidR="004F7094" w:rsidRDefault="00850FA1">
      <w:pPr>
        <w:widowControl w:val="0"/>
        <w:spacing w:after="200" w:line="240" w:lineRule="auto"/>
        <w:rPr>
          <w:rFonts w:ascii="Times New Roman" w:eastAsia="Times New Roman" w:hAnsi="Times New Roman" w:cs="Times New Roman"/>
        </w:rPr>
      </w:pPr>
      <w:r w:rsidRPr="00186C16">
        <w:rPr>
          <w:rFonts w:ascii="Times New Roman" w:eastAsia="Times New Roman" w:hAnsi="Times New Roman" w:cs="Times New Roman"/>
          <w:b/>
          <w:bCs/>
          <w:u w:val="single"/>
        </w:rPr>
        <w:t>Rebuttal</w:t>
      </w:r>
      <w:r>
        <w:rPr>
          <w:rFonts w:ascii="Times New Roman" w:eastAsia="Times New Roman" w:hAnsi="Times New Roman" w:cs="Times New Roman"/>
        </w:rPr>
        <w:t xml:space="preserve">. One lawyer for the Petitioner may </w:t>
      </w:r>
      <w:r>
        <w:rPr>
          <w:rFonts w:ascii="Times New Roman" w:eastAsia="Times New Roman" w:hAnsi="Times New Roman" w:cs="Times New Roman"/>
        </w:rPr>
        <w:t xml:space="preserve">reserve up to seven minutes for rebuttal. A lawyer’s initial speaking time combined with rebuttal time may not exceed ten minutes. A reservation of rebuttal time, if requested by the Petitioner, </w:t>
      </w:r>
      <w:proofErr w:type="gramStart"/>
      <w:r>
        <w:rPr>
          <w:rFonts w:ascii="Times New Roman" w:eastAsia="Times New Roman" w:hAnsi="Times New Roman" w:cs="Times New Roman"/>
        </w:rPr>
        <w:t>and also</w:t>
      </w:r>
      <w:proofErr w:type="gramEnd"/>
      <w:r>
        <w:rPr>
          <w:rFonts w:ascii="Times New Roman" w:eastAsia="Times New Roman" w:hAnsi="Times New Roman" w:cs="Times New Roman"/>
        </w:rPr>
        <w:t xml:space="preserve"> the name of each lawyer arguing the case and the time allocation for each of them must be submitted in writing to the courtroom clerk before the opening of the Court. </w:t>
      </w:r>
      <w:proofErr w:type="gramStart"/>
      <w:r>
        <w:rPr>
          <w:rFonts w:ascii="Times New Roman" w:eastAsia="Times New Roman" w:hAnsi="Times New Roman" w:cs="Times New Roman"/>
        </w:rPr>
        <w:t>Either lawyer</w:t>
      </w:r>
      <w:proofErr w:type="gramEnd"/>
      <w:r>
        <w:rPr>
          <w:rFonts w:ascii="Times New Roman" w:eastAsia="Times New Roman" w:hAnsi="Times New Roman" w:cs="Times New Roman"/>
        </w:rPr>
        <w:t xml:space="preserve"> for the Petitioner may deliver a rebuttal but not both. </w:t>
      </w:r>
    </w:p>
    <w:p w14:paraId="2479A7F2"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u w:val="single"/>
        </w:rPr>
        <w:t>Preliminary Appellate Hearings</w:t>
      </w:r>
      <w:r>
        <w:rPr>
          <w:rFonts w:ascii="Times New Roman" w:eastAsia="Times New Roman" w:hAnsi="Times New Roman" w:cs="Times New Roman"/>
        </w:rPr>
        <w:t xml:space="preserve">. The preliminary round will be organized by random pairings. Each team will argue twice for the Petitioner and twice for the Respondent against a variety of opposing teams on a schedule established by TISC. </w:t>
      </w:r>
    </w:p>
    <w:p w14:paraId="6A2CB39F" w14:textId="010EB4F2"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u w:val="single"/>
        </w:rPr>
        <w:t>Semifinal Appellate Hearing</w:t>
      </w:r>
      <w:r>
        <w:rPr>
          <w:rFonts w:ascii="Times New Roman" w:eastAsia="Times New Roman" w:hAnsi="Times New Roman" w:cs="Times New Roman"/>
        </w:rPr>
        <w:t xml:space="preserve">. The eight teams with the highest Cumulative Score from the preliminary round shall participate in the intermediate appellate hearings. The intermediate round shall consist of two appellate hearings per team by random pairings. Each team will argue once for the Petitioner and once for the Respondent. </w:t>
      </w:r>
    </w:p>
    <w:p w14:paraId="4FF3CA41" w14:textId="4D4C3EB6"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u w:val="single"/>
        </w:rPr>
        <w:t>Final Appellate Hearing</w:t>
      </w:r>
      <w:r>
        <w:rPr>
          <w:rFonts w:ascii="Times New Roman" w:eastAsia="Times New Roman" w:hAnsi="Times New Roman" w:cs="Times New Roman"/>
        </w:rPr>
        <w:t xml:space="preserve">. The two teams with the highest Cumulative Score from the previous round shall participate in the championship round. The championship round shall consist of two appellate hearings in total. Each team will argue once for the Petitioner and once for the Respondent. </w:t>
      </w:r>
    </w:p>
    <w:p w14:paraId="56A3043E"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u w:val="single"/>
        </w:rPr>
        <w:t>Forfeiture.</w:t>
      </w:r>
      <w:r>
        <w:rPr>
          <w:rFonts w:ascii="Times New Roman" w:eastAsia="Times New Roman" w:hAnsi="Times New Roman" w:cs="Times New Roman"/>
        </w:rPr>
        <w:t xml:space="preserve"> If a team is unable to compete during a scheduled hearing, it will forfeit the </w:t>
      </w:r>
      <w:proofErr w:type="gramStart"/>
      <w:r>
        <w:rPr>
          <w:rFonts w:ascii="Times New Roman" w:eastAsia="Times New Roman" w:hAnsi="Times New Roman" w:cs="Times New Roman"/>
        </w:rPr>
        <w:t>round</w:t>
      </w:r>
      <w:proofErr w:type="gramEnd"/>
      <w:r>
        <w:rPr>
          <w:rFonts w:ascii="Times New Roman" w:eastAsia="Times New Roman" w:hAnsi="Times New Roman" w:cs="Times New Roman"/>
        </w:rPr>
        <w:t xml:space="preserve"> and the other team shall receive all of the ballots available in the round. If a team is more than 10 minutes late for a scheduled hearing, the late team will be deemed to have forfeited that round, and the other shall receive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 ballots available in the round. If a team knows it will forfeit a round, the team should communicate this intent to the Court at the earliest opportunity. Upon request by the non-forfeiting team, the Court may attempt to reschedule the non-forfeiting team’s hearing, so that the non-forfeiting team has an opportunity to compete against an opponent. </w:t>
      </w:r>
    </w:p>
    <w:p w14:paraId="46E69630" w14:textId="77777777" w:rsidR="004F7094" w:rsidRDefault="00850FA1">
      <w:pPr>
        <w:widowControl w:val="0"/>
        <w:spacing w:after="200" w:line="240" w:lineRule="auto"/>
        <w:jc w:val="center"/>
        <w:rPr>
          <w:rFonts w:ascii="Verdana" w:eastAsia="Verdana" w:hAnsi="Verdana" w:cs="Verdana"/>
          <w:b/>
          <w:sz w:val="30"/>
          <w:szCs w:val="30"/>
        </w:rPr>
      </w:pPr>
      <w:r>
        <w:rPr>
          <w:rFonts w:ascii="Verdana" w:eastAsia="Verdana" w:hAnsi="Verdana" w:cs="Verdana"/>
          <w:b/>
          <w:sz w:val="30"/>
          <w:szCs w:val="30"/>
        </w:rPr>
        <w:lastRenderedPageBreak/>
        <w:t xml:space="preserve">RULES FOR APPELLATE HEARINGS </w:t>
      </w:r>
    </w:p>
    <w:p w14:paraId="171C9D36"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u w:val="single"/>
        </w:rPr>
        <w:t>Closed Problem and Closed Table of Authorities</w:t>
      </w:r>
      <w:r>
        <w:rPr>
          <w:rFonts w:ascii="Times New Roman" w:eastAsia="Times New Roman" w:hAnsi="Times New Roman" w:cs="Times New Roman"/>
        </w:rPr>
        <w:t xml:space="preserve">. The problem for the AMC3 competition is a closed problem. A Table of Authorities that consists of the citations to cases and other authorities, along with copies of each such case or authority, shall accompany the problem. The argument of each team shall be based only upon facts and other matters stated in the Problem and the law found in the documents cited in the Table of Authorities furnished by the Tennessee Intercollegiate Supreme Court. Teams and their participants may not cite other authorities that are merely cited within the cases included in the Table of Authorities. When a case in the Table of Authorities directly quotes another case, that direct quotation may be used. </w:t>
      </w:r>
    </w:p>
    <w:p w14:paraId="3FC7D811" w14:textId="3D11B9AD"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u w:val="single"/>
        </w:rPr>
        <w:t>Timekeeping</w:t>
      </w:r>
      <w:r>
        <w:rPr>
          <w:rFonts w:ascii="Times New Roman" w:eastAsia="Times New Roman" w:hAnsi="Times New Roman" w:cs="Times New Roman"/>
        </w:rPr>
        <w:t xml:space="preserve">. The Clerk and Marshall, or a deputy, shall keep time in each appellate hearing. Before each appellate hearing, each team shall specify in </w:t>
      </w:r>
      <w:proofErr w:type="gramStart"/>
      <w:r>
        <w:rPr>
          <w:rFonts w:ascii="Times New Roman" w:eastAsia="Times New Roman" w:hAnsi="Times New Roman" w:cs="Times New Roman"/>
        </w:rPr>
        <w:t>writing on</w:t>
      </w:r>
      <w:proofErr w:type="gramEnd"/>
      <w:r>
        <w:rPr>
          <w:rFonts w:ascii="Times New Roman" w:eastAsia="Times New Roman" w:hAnsi="Times New Roman" w:cs="Times New Roman"/>
        </w:rPr>
        <w:t xml:space="preserve"> an official form to the Clerk and Marshall and judges the order of argument for each participant on a team and the allocation of the total allotted time among the team’s participants</w:t>
      </w:r>
      <w:r w:rsidR="00ED2631">
        <w:rPr>
          <w:rFonts w:ascii="Times New Roman" w:eastAsia="Times New Roman" w:hAnsi="Times New Roman" w:cs="Times New Roman"/>
        </w:rPr>
        <w:t xml:space="preserve">. </w:t>
      </w:r>
      <w:r>
        <w:rPr>
          <w:rFonts w:ascii="Times New Roman" w:eastAsia="Times New Roman" w:hAnsi="Times New Roman" w:cs="Times New Roman"/>
        </w:rPr>
        <w:t xml:space="preserve">If there is no courtroom clerk to monitor time, the presiding judge shall appoint a timekeeper. </w:t>
      </w:r>
    </w:p>
    <w:p w14:paraId="70B8C789"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u w:val="single"/>
        </w:rPr>
        <w:t>Timekeeping Procedures</w:t>
      </w:r>
      <w:r>
        <w:rPr>
          <w:rFonts w:ascii="Times New Roman" w:eastAsia="Times New Roman" w:hAnsi="Times New Roman" w:cs="Times New Roman"/>
        </w:rPr>
        <w:t xml:space="preserve">. The Clerk and Marshall shall display </w:t>
      </w:r>
      <w:proofErr w:type="gramStart"/>
      <w:r>
        <w:rPr>
          <w:rFonts w:ascii="Times New Roman" w:eastAsia="Times New Roman" w:hAnsi="Times New Roman" w:cs="Times New Roman"/>
        </w:rPr>
        <w:t>time cards</w:t>
      </w:r>
      <w:proofErr w:type="gramEnd"/>
      <w:r>
        <w:rPr>
          <w:rFonts w:ascii="Times New Roman" w:eastAsia="Times New Roman" w:hAnsi="Times New Roman" w:cs="Times New Roman"/>
        </w:rPr>
        <w:t xml:space="preserve"> so that they are visible to the participant who is presenting oral arguments, to the panel of Judges and the Jury of View. The Clerk and Marshall shall also announce to the Court when the allotted time shall have expired for each participant and each team. </w:t>
      </w:r>
    </w:p>
    <w:p w14:paraId="515BBAF7" w14:textId="57C3DCF8"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***Update*** The court is actively working to effectively incorporate digital clocks into our timekeeping!</w:t>
      </w:r>
    </w:p>
    <w:p w14:paraId="472074AA"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u w:val="single"/>
        </w:rPr>
        <w:t>Extension of Time for Oral Argument</w:t>
      </w:r>
      <w:r>
        <w:rPr>
          <w:rFonts w:ascii="Times New Roman" w:eastAsia="Times New Roman" w:hAnsi="Times New Roman" w:cs="Times New Roman"/>
        </w:rPr>
        <w:t xml:space="preserve">. The Presiding Judge may allow an extension of time for oral argument with respect to a participant or a team upon a request for an extension and good cause shown. </w:t>
      </w:r>
    </w:p>
    <w:p w14:paraId="43287CEB"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u w:val="single"/>
        </w:rPr>
        <w:t>Guidelines for Oral Argument</w:t>
      </w:r>
      <w:r>
        <w:rPr>
          <w:rFonts w:ascii="Times New Roman" w:eastAsia="Times New Roman" w:hAnsi="Times New Roman" w:cs="Times New Roman"/>
        </w:rPr>
        <w:t xml:space="preserve">. Each participant and team shall make every reasonable effort to </w:t>
      </w:r>
      <w:r>
        <w:rPr>
          <w:rFonts w:ascii="Times New Roman" w:eastAsia="Times New Roman" w:hAnsi="Times New Roman" w:cs="Times New Roman"/>
        </w:rPr>
        <w:t xml:space="preserve">conform to the Guidelines for Oral Argument in this Handbook. The members of the Jury of View may consider compliance with these Guidelines in scoring each team in an appellate hearing. Violations of the oral argument rules may be punished by a reduction in a team’s score by the Tennessee Intercollegiate Supreme Court. </w:t>
      </w:r>
    </w:p>
    <w:p w14:paraId="034D1113"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u w:val="single"/>
        </w:rPr>
        <w:t>Notes Permitted; Visual Aids Prohibited</w:t>
      </w:r>
      <w:r>
        <w:rPr>
          <w:rFonts w:ascii="Times New Roman" w:eastAsia="Times New Roman" w:hAnsi="Times New Roman" w:cs="Times New Roman"/>
        </w:rPr>
        <w:t xml:space="preserve">. Participants and teams may use personal notes during any appellate </w:t>
      </w:r>
      <w:proofErr w:type="gramStart"/>
      <w:r>
        <w:rPr>
          <w:rFonts w:ascii="Times New Roman" w:eastAsia="Times New Roman" w:hAnsi="Times New Roman" w:cs="Times New Roman"/>
        </w:rPr>
        <w:t>hearing we do</w:t>
      </w:r>
      <w:proofErr w:type="gramEnd"/>
      <w:r>
        <w:rPr>
          <w:rFonts w:ascii="Times New Roman" w:eastAsia="Times New Roman" w:hAnsi="Times New Roman" w:cs="Times New Roman"/>
        </w:rPr>
        <w:t xml:space="preserve"> ask that this usage of notes be limited. Participants and teams are prohibited from using any type of visual aid during an appellate hearing. </w:t>
      </w:r>
    </w:p>
    <w:p w14:paraId="3E94C73D"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u w:val="single"/>
        </w:rPr>
        <w:t xml:space="preserve">Attendance of Participants at Other Hearings. </w:t>
      </w:r>
      <w:r>
        <w:rPr>
          <w:rFonts w:ascii="Times New Roman" w:eastAsia="Times New Roman" w:hAnsi="Times New Roman" w:cs="Times New Roman"/>
        </w:rPr>
        <w:t xml:space="preserve">Scouting of other teams is prohibited during the Intermediate and Championship Rounds. No competitor or coach who is still participating may attend the oral argument of another team or receive information from any person who has attended the oral argument of another team. </w:t>
      </w:r>
      <w:r>
        <w:rPr>
          <w:rFonts w:ascii="Times New Roman" w:eastAsia="Times New Roman" w:hAnsi="Times New Roman" w:cs="Times New Roman"/>
          <w:u w:val="single"/>
        </w:rPr>
        <w:t>Violation of this rule will result in a reduction of a team’s score</w:t>
      </w:r>
      <w:r>
        <w:rPr>
          <w:rFonts w:ascii="Times New Roman" w:eastAsia="Times New Roman" w:hAnsi="Times New Roman" w:cs="Times New Roman"/>
        </w:rPr>
        <w:t xml:space="preserve">. The Court may, at its discretion, waive this rule during the Championship Round to maintain competitive fairness. (Note: this rule does not apply to the Preliminary Rounds). </w:t>
      </w:r>
    </w:p>
    <w:p w14:paraId="6CAC57FC"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u w:val="single"/>
        </w:rPr>
        <w:t>No Substitutions</w:t>
      </w:r>
      <w:r>
        <w:rPr>
          <w:rFonts w:ascii="Times New Roman" w:eastAsia="Times New Roman" w:hAnsi="Times New Roman" w:cs="Times New Roman"/>
        </w:rPr>
        <w:t>. A team of the same participants must represent the Petitioner and/or the Respondent for every hearing of the AMC3 competition. Substitutions are not permitted once the AMC3 competition begins except when an exception is granted</w:t>
      </w:r>
    </w:p>
    <w:p w14:paraId="2AB853D0"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u w:val="single"/>
        </w:rPr>
        <w:t>Coaches</w:t>
      </w:r>
      <w:r>
        <w:rPr>
          <w:rFonts w:ascii="Times New Roman" w:eastAsia="Times New Roman" w:hAnsi="Times New Roman" w:cs="Times New Roman"/>
        </w:rPr>
        <w:t xml:space="preserve">. Each team may have a non-student coach. A team may have more than one coach. A coach may not sit at the counsel table, and the coach may not consult with, contact, text, or seek to influence the team or participants during an ongoing appellate hearing and must remain muted except when presenting their arguments. A coach may not directly participate in the drafting or editing of a team’s appellate brief. </w:t>
      </w:r>
    </w:p>
    <w:p w14:paraId="7C741060"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u w:val="single"/>
        </w:rPr>
        <w:t>Jury of View brief</w:t>
      </w:r>
      <w:r>
        <w:rPr>
          <w:rFonts w:ascii="Times New Roman" w:eastAsia="Times New Roman" w:hAnsi="Times New Roman" w:cs="Times New Roman"/>
        </w:rPr>
        <w:t xml:space="preserve">. A Jury of View brief (also known as a “bench brief”) may be distributed to members of the Juries of View for the </w:t>
      </w:r>
      <w:proofErr w:type="gramStart"/>
      <w:r>
        <w:rPr>
          <w:rFonts w:ascii="Times New Roman" w:eastAsia="Times New Roman" w:hAnsi="Times New Roman" w:cs="Times New Roman"/>
        </w:rPr>
        <w:t>purposes</w:t>
      </w:r>
      <w:proofErr w:type="gramEnd"/>
      <w:r>
        <w:rPr>
          <w:rFonts w:ascii="Times New Roman" w:eastAsia="Times New Roman" w:hAnsi="Times New Roman" w:cs="Times New Roman"/>
        </w:rPr>
        <w:t xml:space="preserve"> of briefing them on the issues presented in the problem. The Jury of View brief is confidential. Any team, participant, or coach that possesses a </w:t>
      </w:r>
      <w:r>
        <w:rPr>
          <w:rFonts w:ascii="Times New Roman" w:eastAsia="Times New Roman" w:hAnsi="Times New Roman" w:cs="Times New Roman"/>
        </w:rPr>
        <w:lastRenderedPageBreak/>
        <w:t>Jury of View brief or uses material from the Jury of View brief shall be subject to severe sanctions.</w:t>
      </w:r>
    </w:p>
    <w:p w14:paraId="0BA52D76"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u w:val="single"/>
        </w:rPr>
        <w:t>Videotaping or Photography of appellate hearings</w:t>
      </w:r>
      <w:r>
        <w:rPr>
          <w:rFonts w:ascii="Times New Roman" w:eastAsia="Times New Roman" w:hAnsi="Times New Roman" w:cs="Times New Roman"/>
        </w:rPr>
        <w:t xml:space="preserve">. The Supreme Court welcomes media coverage of AMC3. TISL Media isn’t limited to these topics, but the Court notes these coverage opportunities: </w:t>
      </w:r>
    </w:p>
    <w:p w14:paraId="5ACDC1A3" w14:textId="77777777" w:rsidR="004F7094" w:rsidRDefault="00850FA1">
      <w:pPr>
        <w:widowControl w:val="0"/>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 xml:space="preserve">Release of the AMC3 problem (early August) </w:t>
      </w:r>
    </w:p>
    <w:p w14:paraId="228A65C8" w14:textId="77777777" w:rsidR="004F7094" w:rsidRDefault="00850FA1">
      <w:pPr>
        <w:widowControl w:val="0"/>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 xml:space="preserve">Tentative team count (after Universal Deadline) </w:t>
      </w:r>
    </w:p>
    <w:p w14:paraId="326F5BC9" w14:textId="77777777" w:rsidR="004F7094" w:rsidRDefault="00850FA1">
      <w:pPr>
        <w:widowControl w:val="0"/>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Announcement of semi-finalists (Friday evening)</w:t>
      </w:r>
    </w:p>
    <w:p w14:paraId="7520F559" w14:textId="77777777" w:rsidR="004F7094" w:rsidRDefault="00850FA1">
      <w:pPr>
        <w:widowControl w:val="0"/>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 xml:space="preserve">Announcement of finalists (Saturday evening) </w:t>
      </w:r>
    </w:p>
    <w:p w14:paraId="0C71548A" w14:textId="77777777" w:rsidR="004F7094" w:rsidRDefault="00850FA1">
      <w:pPr>
        <w:widowControl w:val="0"/>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 xml:space="preserve">Announcement of Champion (Sunday closing session) </w:t>
      </w:r>
    </w:p>
    <w:p w14:paraId="72C4F9B0" w14:textId="77777777" w:rsidR="004F7094" w:rsidRDefault="00850FA1">
      <w:pPr>
        <w:widowControl w:val="0"/>
        <w:numPr>
          <w:ilvl w:val="0"/>
          <w:numId w:val="3"/>
        </w:numPr>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Award winners (Sunday closing session) </w:t>
      </w:r>
    </w:p>
    <w:p w14:paraId="09ABC0B0"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Audio and video in the courtroom are permitted as follows: </w:t>
      </w:r>
    </w:p>
    <w:p w14:paraId="1D0BDB35" w14:textId="77777777" w:rsidR="004F7094" w:rsidRDefault="00850FA1">
      <w:pPr>
        <w:widowControl w:val="0"/>
        <w:numPr>
          <w:ilvl w:val="0"/>
          <w:numId w:val="4"/>
        </w:numPr>
        <w:spacing w:line="240" w:lineRule="auto"/>
        <w:rPr>
          <w:rFonts w:ascii="Times New Roman" w:eastAsia="Times New Roman" w:hAnsi="Times New Roman" w:cs="Times New Roman"/>
        </w:rPr>
      </w:pPr>
      <w:r>
        <w:rPr>
          <w:rFonts w:ascii="Times New Roman" w:eastAsia="Times New Roman" w:hAnsi="Times New Roman" w:cs="Times New Roman"/>
        </w:rPr>
        <w:t xml:space="preserve">Still photos only during the Preliminary Round </w:t>
      </w:r>
    </w:p>
    <w:p w14:paraId="6AE54DBA" w14:textId="77777777" w:rsidR="004F7094" w:rsidRDefault="00850FA1">
      <w:pPr>
        <w:widowControl w:val="0"/>
        <w:numPr>
          <w:ilvl w:val="0"/>
          <w:numId w:val="4"/>
        </w:numPr>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Still photos and video, including audio, during the Semifinal and Championship rounds </w:t>
      </w:r>
    </w:p>
    <w:p w14:paraId="79E3D1BA"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Reporters should maintain a relatively fixed position throughout the round. Reporters may leave or change positions in between each round. In other words, you can change position or depart when the lawyers change. </w:t>
      </w:r>
    </w:p>
    <w:p w14:paraId="33F1C1D6"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In news reports, please refer to teams by number and not by the name of the college. Media may refer to lawyers by their names. (For example, “Arthur Dent of Team 42.”) </w:t>
      </w:r>
    </w:p>
    <w:p w14:paraId="5CA5EC8E"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Outside the courtroom, it is OK for AMC3 lawyers to discuss the case, describe the facts of the case, and express an opinion about the case in interviews. </w:t>
      </w:r>
    </w:p>
    <w:p w14:paraId="6470FE2B"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If you have questions about media guidelines, please contact the Media Director. </w:t>
      </w:r>
    </w:p>
    <w:p w14:paraId="5DD397C1"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u w:val="single"/>
        </w:rPr>
        <w:t>Interrupting Rounds</w:t>
      </w:r>
      <w:r>
        <w:rPr>
          <w:rFonts w:ascii="Times New Roman" w:eastAsia="Times New Roman" w:hAnsi="Times New Roman" w:cs="Times New Roman"/>
        </w:rPr>
        <w:t xml:space="preserve">. An interruption is defined as entering or exiting the courtroom with </w:t>
      </w:r>
      <w:r>
        <w:rPr>
          <w:rFonts w:ascii="Times New Roman" w:eastAsia="Times New Roman" w:hAnsi="Times New Roman" w:cs="Times New Roman"/>
        </w:rPr>
        <w:t xml:space="preserve">excessive noise at any point between when the Petitioner begins oral arguments and when the Petitioner finishes their rebuttal (or, if no rebuttal is presented when the Respondent finishes their oral arguments). In the courtroom, an individual watching the oral argument should not cause noise or interference within the courtroom that will distract the participants or the court, including noise from electronics. If an individual from a team (not delegation) competing in AMC3 interrupts a round, the team may be held responsible for the individual. If an individual not competing in AMC3 interrupts a round, any violation can and will be handled as seen fit. </w:t>
      </w:r>
    </w:p>
    <w:p w14:paraId="1971A2AE" w14:textId="77777777" w:rsidR="004F7094" w:rsidRDefault="00850FA1">
      <w:pPr>
        <w:widowControl w:val="0"/>
        <w:spacing w:after="200" w:line="240" w:lineRule="auto"/>
        <w:jc w:val="center"/>
        <w:rPr>
          <w:rFonts w:ascii="Verdana" w:eastAsia="Verdana" w:hAnsi="Verdana" w:cs="Verdana"/>
          <w:b/>
          <w:sz w:val="30"/>
          <w:szCs w:val="30"/>
        </w:rPr>
      </w:pPr>
      <w:r>
        <w:rPr>
          <w:rFonts w:ascii="Verdana" w:eastAsia="Verdana" w:hAnsi="Verdana" w:cs="Verdana"/>
          <w:b/>
          <w:sz w:val="30"/>
          <w:szCs w:val="30"/>
        </w:rPr>
        <w:t>Judging and Scoring</w:t>
      </w:r>
    </w:p>
    <w:p w14:paraId="377A9F57"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u w:val="single"/>
        </w:rPr>
        <w:t>Appellate Judges</w:t>
      </w:r>
      <w:r>
        <w:rPr>
          <w:rFonts w:ascii="Times New Roman" w:eastAsia="Times New Roman" w:hAnsi="Times New Roman" w:cs="Times New Roman"/>
        </w:rPr>
        <w:t xml:space="preserve">. At all preliminary appellate hearings, a panel of at least two (2) student judges shall conduct the appellate hearing; none may be previously or currently enrolled in a college of law. </w:t>
      </w:r>
    </w:p>
    <w:p w14:paraId="763F93EF"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Each panel of judges shall include as the presiding judge a Justice of the Tennessee Intercollegiate Supreme Court. The remaining judge(s) shall be magistrates or justices. The Tennessee Intercollegiate Supreme Court shall sit at the championship </w:t>
      </w:r>
      <w:proofErr w:type="spellStart"/>
      <w:r>
        <w:rPr>
          <w:rFonts w:ascii="Times New Roman" w:eastAsia="Times New Roman" w:hAnsi="Times New Roman" w:cs="Times New Roman"/>
        </w:rPr>
        <w:t>appel</w:t>
      </w:r>
      <w:proofErr w:type="spellEnd"/>
      <w:r>
        <w:rPr>
          <w:rFonts w:ascii="Times New Roman" w:eastAsia="Times New Roman" w:hAnsi="Times New Roman" w:cs="Times New Roman"/>
        </w:rPr>
        <w:t xml:space="preserve"> late hearing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banc. TISC shall designate all panels of judges, including the presiding judge. </w:t>
      </w:r>
    </w:p>
    <w:p w14:paraId="001B3509"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The Court may appoint Magistrates to serve on the bench in preliminary rounds. Magistrates shall not otherwise compete on an AMC3 team</w:t>
      </w:r>
    </w:p>
    <w:p w14:paraId="2ECE3B77"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u w:val="single"/>
        </w:rPr>
        <w:t>Scoring of Oral Arguments</w:t>
      </w:r>
      <w:r>
        <w:rPr>
          <w:rFonts w:ascii="Times New Roman" w:eastAsia="Times New Roman" w:hAnsi="Times New Roman" w:cs="Times New Roman"/>
        </w:rPr>
        <w:t xml:space="preserve">. Each preliminary appellate hearing shall be attended and scored by a Jury of View composed of at least two </w:t>
      </w:r>
      <w:proofErr w:type="gramStart"/>
      <w:r>
        <w:rPr>
          <w:rFonts w:ascii="Times New Roman" w:eastAsia="Times New Roman" w:hAnsi="Times New Roman" w:cs="Times New Roman"/>
        </w:rPr>
        <w:t>persons</w:t>
      </w:r>
      <w:proofErr w:type="gramEnd"/>
      <w:r>
        <w:rPr>
          <w:rFonts w:ascii="Times New Roman" w:eastAsia="Times New Roman" w:hAnsi="Times New Roman" w:cs="Times New Roman"/>
        </w:rPr>
        <w:t xml:space="preserve"> who shall be either active or retired attorneys, professional judges or current law students. Jurors may not be AMC3 coaches. The Court shall designate the members of each Jury of View. Each member of the Jury of View will be offered a bench brief before the start of hearings. At the conclusion of appellate hearings, each Juror and the presiding Justice shall cast one vote for the team that was superior in its oral advocacy. If the Jury of View has fewer than two members or more than two members, the value of each vote cast </w:t>
      </w:r>
      <w:r>
        <w:rPr>
          <w:rFonts w:ascii="Times New Roman" w:eastAsia="Times New Roman" w:hAnsi="Times New Roman" w:cs="Times New Roman"/>
        </w:rPr>
        <w:lastRenderedPageBreak/>
        <w:t xml:space="preserve">shall be increased or decreased proportionally. </w:t>
      </w:r>
    </w:p>
    <w:p w14:paraId="38CC099E"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In the event of any ambiguity, omission, error, or question concerning scoring, the Court shall make the final decision. If multiple Justices of the Tennessee Intercollegiate Supreme Court preside over a round, the senior Justice shall compile all Justices votes and cast the Justices’ collective ballot for the side receiving the most votes. Even when multiple Justices serve, the Justices cast just a single ballot. The presiding justice will fill a lawyer's score sheets to calculate awards. </w:t>
      </w:r>
    </w:p>
    <w:p w14:paraId="0699BBE8"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u w:val="single"/>
        </w:rPr>
        <w:t>Critique by the Jury of View</w:t>
      </w:r>
      <w:r>
        <w:rPr>
          <w:rFonts w:ascii="Times New Roman" w:eastAsia="Times New Roman" w:hAnsi="Times New Roman" w:cs="Times New Roman"/>
        </w:rPr>
        <w:t xml:space="preserve">. After each preliminary appellate hearing session (typically two hearings </w:t>
      </w:r>
      <w:proofErr w:type="gramStart"/>
      <w:r>
        <w:rPr>
          <w:rFonts w:ascii="Times New Roman" w:eastAsia="Times New Roman" w:hAnsi="Times New Roman" w:cs="Times New Roman"/>
        </w:rPr>
        <w:t>back to back</w:t>
      </w:r>
      <w:proofErr w:type="gramEnd"/>
      <w:r>
        <w:rPr>
          <w:rFonts w:ascii="Times New Roman" w:eastAsia="Times New Roman" w:hAnsi="Times New Roman" w:cs="Times New Roman"/>
        </w:rPr>
        <w:t xml:space="preserve">), the professional lawyer members of the Jury of View may hold a brief oral critique session collectively with all four teams. Even after a round has concluded, competitors must not reveal their collegiate affiliation. </w:t>
      </w:r>
    </w:p>
    <w:p w14:paraId="52CA6E06"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u w:val="single"/>
        </w:rPr>
        <w:t>Scoring Procedure</w:t>
      </w:r>
      <w:r>
        <w:rPr>
          <w:rFonts w:ascii="Times New Roman" w:eastAsia="Times New Roman" w:hAnsi="Times New Roman" w:cs="Times New Roman"/>
        </w:rPr>
        <w:t>. Each participant who presents an argument at each appellate hearing, including the championship appellate hearing, shall be scored by each member of the Jury of View based upon a Lawyer Score Sheet</w:t>
      </w:r>
    </w:p>
    <w:p w14:paraId="3AEBC59B"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u w:val="single"/>
        </w:rPr>
        <w:t>Votes Confidential during Appellate Hearings</w:t>
      </w:r>
      <w:r>
        <w:rPr>
          <w:rFonts w:ascii="Times New Roman" w:eastAsia="Times New Roman" w:hAnsi="Times New Roman" w:cs="Times New Roman"/>
        </w:rPr>
        <w:t>. The number of ballots cast for each team during all rounds shall be confidential until the specific stage (preliminary, semifinal, or final phase) of the competition is complete, at which time the scores for all teams will be released electronically.</w:t>
      </w:r>
    </w:p>
    <w:p w14:paraId="02089498"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u w:val="single"/>
        </w:rPr>
        <w:t>Tabulations of Scores from Preliminary Appellate Hearings</w:t>
      </w:r>
      <w:r>
        <w:rPr>
          <w:rFonts w:ascii="Times New Roman" w:eastAsia="Times New Roman" w:hAnsi="Times New Roman" w:cs="Times New Roman"/>
        </w:rPr>
        <w:t>. After the preliminary appellate hearings, the Tennessee Intercollegiate Supreme Court will total the votes cast by the Jury of View to produce a Cumulative Score. The teams with the highest Cumulative Score will advance to the next round of the competition. If a tie results in more than eight teams being eligible for the intermediate rounds, then the teams’ brief scores shall be used as a tiebreaker.</w:t>
      </w:r>
    </w:p>
    <w:p w14:paraId="1E39310F"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u w:val="single"/>
        </w:rPr>
        <w:t>Tabulations of Scores from Semifinal Appellate Hearings</w:t>
      </w:r>
      <w:r>
        <w:rPr>
          <w:rFonts w:ascii="Times New Roman" w:eastAsia="Times New Roman" w:hAnsi="Times New Roman" w:cs="Times New Roman"/>
        </w:rPr>
        <w:t xml:space="preserve">. After the semifinal appellate hearings, the Tennessee Intercollegiate Supreme Court will total the votes cast by the Jury of View to produce a cumulative score. The two teams with the </w:t>
      </w:r>
      <w:r>
        <w:rPr>
          <w:rFonts w:ascii="Times New Roman" w:eastAsia="Times New Roman" w:hAnsi="Times New Roman" w:cs="Times New Roman"/>
        </w:rPr>
        <w:t xml:space="preserve">highest Cumulative Score will advance to the championship round of the competition. If a tie results in more than two teams being eligible for the championship round, then the teams’ brief scores shall be used as a tiebreaker.  </w:t>
      </w:r>
    </w:p>
    <w:p w14:paraId="131BDBE1"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u w:val="single"/>
        </w:rPr>
        <w:t>Tabulations of Scores from the Final Appellate Hearing</w:t>
      </w:r>
      <w:r>
        <w:rPr>
          <w:rFonts w:ascii="Times New Roman" w:eastAsia="Times New Roman" w:hAnsi="Times New Roman" w:cs="Times New Roman"/>
        </w:rPr>
        <w:t xml:space="preserve">. After the championship appellate hearing, the Jury of View will cast votes for the better team as in the preliminary round. If a tiebreaker is required after the ballots of the Jury of View have been counted, the Tennessee Intercollegiate Supreme Court shall cast a single ballot to determine the winner. The Chief Justice shall announce the winner at the closing session of the General Assembly. </w:t>
      </w:r>
    </w:p>
    <w:p w14:paraId="2ECEFF89"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u w:val="single"/>
        </w:rPr>
        <w:t>Authority of the Tennessee Intercollegiate Supreme Court in Rules Violations</w:t>
      </w:r>
      <w:r>
        <w:rPr>
          <w:rFonts w:ascii="Times New Roman" w:eastAsia="Times New Roman" w:hAnsi="Times New Roman" w:cs="Times New Roman"/>
        </w:rPr>
        <w:t xml:space="preserve">. Any team that reasonably believes that a Rules violation has </w:t>
      </w:r>
      <w:proofErr w:type="gramStart"/>
      <w:r>
        <w:rPr>
          <w:rFonts w:ascii="Times New Roman" w:eastAsia="Times New Roman" w:hAnsi="Times New Roman" w:cs="Times New Roman"/>
        </w:rPr>
        <w:t>occurred</w:t>
      </w:r>
      <w:proofErr w:type="gramEnd"/>
      <w:r>
        <w:rPr>
          <w:rFonts w:ascii="Times New Roman" w:eastAsia="Times New Roman" w:hAnsi="Times New Roman" w:cs="Times New Roman"/>
        </w:rPr>
        <w:t xml:space="preserve"> and such violation has not been raised and acted upon during an appellate hearing, may file a complaint with the Tennessee Intercollegiate Supreme Court. The Tennessee Intercollegiate Supreme Court shall, after giving notice and an opportunity to be heard (at its discretion) to the affected team(s) and/or participant(s), decide the complaint and may order any sanction which they deem appropriate, including but not limited to, expulsion of a participant, loss of scoring points, forfeiture of the team in the AMC3 competition or any appellate hearing thereof. In the event of a sanction or forfeiture of any appellate hearing, the score of the team for the forfeited appellate hearing shall be recorded as zero. </w:t>
      </w:r>
    </w:p>
    <w:p w14:paraId="562DF878" w14:textId="4935DA72"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u w:val="single"/>
        </w:rPr>
        <w:t>Established Penalties</w:t>
      </w:r>
      <w:r>
        <w:rPr>
          <w:rFonts w:ascii="Times New Roman" w:eastAsia="Times New Roman" w:hAnsi="Times New Roman" w:cs="Times New Roman"/>
        </w:rPr>
        <w:t xml:space="preserve">. Competitors who fail to comply with the rules of oral argument (interrupting hearings in progress or revealing one’s school during a hearing) will be subject to the following penalties: </w:t>
      </w:r>
    </w:p>
    <w:p w14:paraId="3CA1FB4C"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u w:val="single"/>
        </w:rPr>
        <w:t>First Infraction</w:t>
      </w:r>
      <w:r>
        <w:rPr>
          <w:rFonts w:ascii="Times New Roman" w:eastAsia="Times New Roman" w:hAnsi="Times New Roman" w:cs="Times New Roman"/>
        </w:rPr>
        <w:t xml:space="preserve">. If the Chief Clerk and Marshall determine a violation has occurred, he or she will issue a written warning to the offending team. </w:t>
      </w:r>
    </w:p>
    <w:p w14:paraId="2D325512"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u w:val="single"/>
        </w:rPr>
        <w:t>Second Infraction</w:t>
      </w:r>
      <w:r>
        <w:rPr>
          <w:rFonts w:ascii="Times New Roman" w:eastAsia="Times New Roman" w:hAnsi="Times New Roman" w:cs="Times New Roman"/>
        </w:rPr>
        <w:t xml:space="preserve">. If the Chief Clerk and Marshall determine a second violation of the same type has occurred, the offending team’s aggregate score for a round (preliminary, semifinal, championship) will be reduced by two percentage points. </w:t>
      </w:r>
    </w:p>
    <w:p w14:paraId="7EF671CC"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u w:val="single"/>
        </w:rPr>
        <w:lastRenderedPageBreak/>
        <w:t>Third Infraction</w:t>
      </w:r>
      <w:r>
        <w:rPr>
          <w:rFonts w:ascii="Times New Roman" w:eastAsia="Times New Roman" w:hAnsi="Times New Roman" w:cs="Times New Roman"/>
        </w:rPr>
        <w:t xml:space="preserve">. If the Chief Clerk and Marshall determine a third violation of the same type has occurred, the offending team’s aggregate score for a round will be reduced by an additional five percentage points. </w:t>
      </w:r>
    </w:p>
    <w:p w14:paraId="4F788C47"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u w:val="single"/>
        </w:rPr>
        <w:t>Additional Infractions</w:t>
      </w:r>
      <w:r>
        <w:rPr>
          <w:rFonts w:ascii="Times New Roman" w:eastAsia="Times New Roman" w:hAnsi="Times New Roman" w:cs="Times New Roman"/>
        </w:rPr>
        <w:t xml:space="preserve">: If the Chief Clerk and Marshall determine an additional violation of the same type has occurred, the Tennessee Intercollegiate Supreme Court will hold a hearing to determine </w:t>
      </w:r>
      <w:proofErr w:type="gramStart"/>
      <w:r>
        <w:rPr>
          <w:rFonts w:ascii="Times New Roman" w:eastAsia="Times New Roman" w:hAnsi="Times New Roman" w:cs="Times New Roman"/>
        </w:rPr>
        <w:t>whether or not</w:t>
      </w:r>
      <w:proofErr w:type="gramEnd"/>
      <w:r>
        <w:rPr>
          <w:rFonts w:ascii="Times New Roman" w:eastAsia="Times New Roman" w:hAnsi="Times New Roman" w:cs="Times New Roman"/>
        </w:rPr>
        <w:t xml:space="preserve"> the team may continue participating in AMC3. The Tennessee Intercollegiate Supreme Court reserves the right to increase or decrease the severity of these punishments when mitigating or aggravating circumstances are present. </w:t>
      </w:r>
    </w:p>
    <w:p w14:paraId="5EAA72A8"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u w:val="single"/>
        </w:rPr>
        <w:t>Brief</w:t>
      </w:r>
      <w:r>
        <w:rPr>
          <w:rFonts w:ascii="Times New Roman" w:eastAsia="Times New Roman" w:hAnsi="Times New Roman" w:cs="Times New Roman"/>
        </w:rPr>
        <w:t xml:space="preserve">. Each team is to submit a brief in PDF format for the Petitioner or for the Respondent. The team may choose which side to argue. The highest-scoring brief will be announced by the Chief Justice at the closing session of the General Assembly. Brief scores will not be factored into the scoring for the preliminary, semifinal, or championship oral argument rounds unless necessary as a tiebreaker. Guidelines for the brief and a Microsoft Word template are at www.AMC3.org. </w:t>
      </w:r>
    </w:p>
    <w:p w14:paraId="4BFD8254" w14:textId="77777777" w:rsidR="004F7094" w:rsidRDefault="00850FA1">
      <w:pPr>
        <w:widowControl w:val="0"/>
        <w:spacing w:after="200" w:line="240" w:lineRule="auto"/>
        <w:jc w:val="center"/>
        <w:rPr>
          <w:rFonts w:ascii="Verdana" w:eastAsia="Verdana" w:hAnsi="Verdana" w:cs="Verdana"/>
          <w:b/>
          <w:sz w:val="30"/>
          <w:szCs w:val="30"/>
        </w:rPr>
      </w:pPr>
      <w:r>
        <w:rPr>
          <w:rFonts w:ascii="Verdana" w:eastAsia="Verdana" w:hAnsi="Verdana" w:cs="Verdana"/>
          <w:b/>
          <w:sz w:val="30"/>
          <w:szCs w:val="30"/>
        </w:rPr>
        <w:t xml:space="preserve">GOVERNANCE </w:t>
      </w:r>
    </w:p>
    <w:p w14:paraId="0B9E2F7E" w14:textId="3D2EDA92"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u w:val="single"/>
        </w:rPr>
        <w:t>Governance</w:t>
      </w:r>
      <w:r>
        <w:rPr>
          <w:rFonts w:ascii="Times New Roman" w:eastAsia="Times New Roman" w:hAnsi="Times New Roman" w:cs="Times New Roman"/>
        </w:rPr>
        <w:t>. AMC3 is governed by the Tennessee Intercollegiate Supreme Court (TISC) under the auspices of the Tennessee Intercollegiate State Legislature Foundation, a Tennessee corporation, and the Constitution of the Tennessee Intercollegiate State Legislature.</w:t>
      </w:r>
    </w:p>
    <w:p w14:paraId="4E90A733" w14:textId="5DF9B29F"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u w:val="single"/>
        </w:rPr>
        <w:t>Interpret Rules</w:t>
      </w:r>
      <w:r>
        <w:rPr>
          <w:rFonts w:ascii="Times New Roman" w:eastAsia="Times New Roman" w:hAnsi="Times New Roman" w:cs="Times New Roman"/>
        </w:rPr>
        <w:t xml:space="preserve">. The Tennessee Intercollegiate Su </w:t>
      </w:r>
      <w:proofErr w:type="spellStart"/>
      <w:r>
        <w:rPr>
          <w:rFonts w:ascii="Times New Roman" w:eastAsia="Times New Roman" w:hAnsi="Times New Roman" w:cs="Times New Roman"/>
        </w:rPr>
        <w:t>preme</w:t>
      </w:r>
      <w:proofErr w:type="spellEnd"/>
      <w:r>
        <w:rPr>
          <w:rFonts w:ascii="Times New Roman" w:eastAsia="Times New Roman" w:hAnsi="Times New Roman" w:cs="Times New Roman"/>
        </w:rPr>
        <w:t xml:space="preserve"> Court has the authority to enact, amend and/or interpret these Rules at any time upon a ma </w:t>
      </w:r>
      <w:proofErr w:type="spellStart"/>
      <w:r>
        <w:rPr>
          <w:rFonts w:ascii="Times New Roman" w:eastAsia="Times New Roman" w:hAnsi="Times New Roman" w:cs="Times New Roman"/>
        </w:rPr>
        <w:t>jority</w:t>
      </w:r>
      <w:proofErr w:type="spellEnd"/>
      <w:r>
        <w:rPr>
          <w:rFonts w:ascii="Times New Roman" w:eastAsia="Times New Roman" w:hAnsi="Times New Roman" w:cs="Times New Roman"/>
        </w:rPr>
        <w:t xml:space="preserve"> vote of the members of the Court. The authority to interpret includes all matters pertaining to the conduct of appellate hearings, scoring, and any other procedure or practice necessary or advisable for the conduct of the AMC3 competition. </w:t>
      </w:r>
    </w:p>
    <w:p w14:paraId="1E6B32BC" w14:textId="77777777" w:rsidR="004F7094" w:rsidRDefault="00850FA1">
      <w:pPr>
        <w:widowControl w:val="0"/>
        <w:spacing w:after="200" w:line="240" w:lineRule="auto"/>
        <w:jc w:val="center"/>
        <w:rPr>
          <w:rFonts w:ascii="Verdana" w:eastAsia="Verdana" w:hAnsi="Verdana" w:cs="Verdana"/>
          <w:b/>
          <w:sz w:val="28"/>
          <w:szCs w:val="28"/>
        </w:rPr>
      </w:pPr>
      <w:r>
        <w:rPr>
          <w:rFonts w:ascii="Verdana" w:eastAsia="Verdana" w:hAnsi="Verdana" w:cs="Verdana"/>
          <w:b/>
          <w:sz w:val="28"/>
          <w:szCs w:val="28"/>
        </w:rPr>
        <w:t>Briefs</w:t>
      </w:r>
    </w:p>
    <w:p w14:paraId="11861CA8"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Each team </w:t>
      </w:r>
      <w:proofErr w:type="gramStart"/>
      <w:r>
        <w:rPr>
          <w:rFonts w:ascii="Times New Roman" w:eastAsia="Times New Roman" w:hAnsi="Times New Roman" w:cs="Times New Roman"/>
        </w:rPr>
        <w:t>is</w:t>
      </w:r>
      <w:proofErr w:type="gramEnd"/>
      <w:r>
        <w:rPr>
          <w:rFonts w:ascii="Times New Roman" w:eastAsia="Times New Roman" w:hAnsi="Times New Roman" w:cs="Times New Roman"/>
        </w:rPr>
        <w:t xml:space="preserve"> to file one brief. The team may choose whether to file for the Petitioner or for the Respondent. </w:t>
      </w:r>
    </w:p>
    <w:p w14:paraId="61062202" w14:textId="77777777" w:rsidR="004F7094" w:rsidRDefault="00850FA1">
      <w:pPr>
        <w:widowControl w:val="0"/>
        <w:spacing w:after="20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Deadlines</w:t>
      </w:r>
    </w:p>
    <w:p w14:paraId="4353A3C8" w14:textId="6A08AF5D"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The deadline for briefs is on the Official TISL </w:t>
      </w:r>
      <w:r w:rsidR="0044181A">
        <w:rPr>
          <w:rFonts w:ascii="Times New Roman" w:eastAsia="Times New Roman" w:hAnsi="Times New Roman" w:cs="Times New Roman"/>
        </w:rPr>
        <w:t>Calendar</w:t>
      </w:r>
      <w:r>
        <w:rPr>
          <w:rFonts w:ascii="Times New Roman" w:eastAsia="Times New Roman" w:hAnsi="Times New Roman" w:cs="Times New Roman"/>
        </w:rPr>
        <w:t xml:space="preserve"> (online). It is typically about two weeks </w:t>
      </w:r>
      <w:r w:rsidR="0044181A">
        <w:rPr>
          <w:rFonts w:ascii="Times New Roman" w:eastAsia="Times New Roman" w:hAnsi="Times New Roman" w:cs="Times New Roman"/>
        </w:rPr>
        <w:t>before</w:t>
      </w:r>
      <w:r>
        <w:rPr>
          <w:rFonts w:ascii="Times New Roman" w:eastAsia="Times New Roman" w:hAnsi="Times New Roman" w:cs="Times New Roman"/>
        </w:rPr>
        <w:t xml:space="preserve"> the TISL General Assembly. The deadline for Briefs is Nov. 3. Briefs must be received by this date. </w:t>
      </w:r>
    </w:p>
    <w:p w14:paraId="7ABF0F90" w14:textId="77777777" w:rsidR="004F7094" w:rsidRDefault="00850FA1">
      <w:pPr>
        <w:widowControl w:val="0"/>
        <w:spacing w:after="20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Template</w:t>
      </w:r>
    </w:p>
    <w:p w14:paraId="0EC4F456"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A template in Microsoft Word format is available for download at www.AMC3.org. </w:t>
      </w:r>
    </w:p>
    <w:p w14:paraId="34DE45CF" w14:textId="77777777" w:rsidR="004F7094" w:rsidRDefault="00850FA1">
      <w:pPr>
        <w:widowControl w:val="0"/>
        <w:spacing w:after="20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Submission</w:t>
      </w:r>
    </w:p>
    <w:p w14:paraId="4E28E360"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Teams may submit their briefs by email (preferred) or by postal mail. </w:t>
      </w:r>
    </w:p>
    <w:p w14:paraId="11A7B72A"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u w:val="single"/>
        </w:rPr>
        <w:t>For email</w:t>
      </w:r>
      <w:r>
        <w:rPr>
          <w:rFonts w:ascii="Times New Roman" w:eastAsia="Times New Roman" w:hAnsi="Times New Roman" w:cs="Times New Roman"/>
        </w:rPr>
        <w:t xml:space="preserve">: Each team should send a copy of its brief in PDF format to: briefs@amc3.org. The file name should be the team number. Example: brief_123. </w:t>
      </w:r>
    </w:p>
    <w:p w14:paraId="6A2A7F33" w14:textId="77777777" w:rsidR="004F7094" w:rsidRDefault="00850FA1">
      <w:pPr>
        <w:widowControl w:val="0"/>
        <w:spacing w:after="20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Structure</w:t>
      </w:r>
    </w:p>
    <w:p w14:paraId="7B5EC986"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Each team should follow the guidelines below when formatting the brief: </w:t>
      </w:r>
    </w:p>
    <w:p w14:paraId="7E661F80"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u w:val="single"/>
        </w:rPr>
        <w:t>Elements</w:t>
      </w:r>
      <w:r>
        <w:rPr>
          <w:rFonts w:ascii="Times New Roman" w:eastAsia="Times New Roman" w:hAnsi="Times New Roman" w:cs="Times New Roman"/>
        </w:rPr>
        <w:t xml:space="preserve">: Each team should format its brief to mirror the provided template. Each brief should include all sections described in the template. Failure to follow the template may, at the scoring judge’s discretion, result in a deduction in the team’s overall score. </w:t>
      </w:r>
    </w:p>
    <w:p w14:paraId="2ED35B3A"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u w:val="single"/>
        </w:rPr>
        <w:t>Maximum length</w:t>
      </w:r>
      <w:r>
        <w:rPr>
          <w:rFonts w:ascii="Times New Roman" w:eastAsia="Times New Roman" w:hAnsi="Times New Roman" w:cs="Times New Roman"/>
        </w:rPr>
        <w:t xml:space="preserve">: 10 pages excluding the Cover Page, Questions Presented, Table of Contents, and Table of Authorities </w:t>
      </w:r>
    </w:p>
    <w:p w14:paraId="30EFF222" w14:textId="77777777" w:rsidR="00DE5CB7" w:rsidRDefault="00DE5CB7" w:rsidP="00CD22C7">
      <w:pPr>
        <w:widowControl w:val="0"/>
        <w:spacing w:line="240" w:lineRule="auto"/>
        <w:rPr>
          <w:rFonts w:ascii="Times New Roman" w:eastAsia="Times New Roman" w:hAnsi="Times New Roman" w:cs="Times New Roman"/>
          <w:u w:val="single"/>
        </w:rPr>
      </w:pPr>
    </w:p>
    <w:p w14:paraId="3A211AA5" w14:textId="77777777" w:rsidR="00DE5CB7" w:rsidRDefault="00DE5CB7" w:rsidP="00CD22C7">
      <w:pPr>
        <w:widowControl w:val="0"/>
        <w:spacing w:line="240" w:lineRule="auto"/>
        <w:rPr>
          <w:rFonts w:ascii="Times New Roman" w:eastAsia="Times New Roman" w:hAnsi="Times New Roman" w:cs="Times New Roman"/>
          <w:u w:val="single"/>
        </w:rPr>
      </w:pPr>
    </w:p>
    <w:p w14:paraId="077656D6" w14:textId="77777777" w:rsidR="00DE5CB7" w:rsidRDefault="00DE5CB7" w:rsidP="00CD22C7">
      <w:pPr>
        <w:widowControl w:val="0"/>
        <w:spacing w:line="240" w:lineRule="auto"/>
        <w:rPr>
          <w:rFonts w:ascii="Times New Roman" w:eastAsia="Times New Roman" w:hAnsi="Times New Roman" w:cs="Times New Roman"/>
          <w:u w:val="single"/>
        </w:rPr>
      </w:pPr>
    </w:p>
    <w:p w14:paraId="0406C11F" w14:textId="77777777" w:rsidR="00DE5CB7" w:rsidRDefault="00DE5CB7" w:rsidP="00CD22C7">
      <w:pPr>
        <w:widowControl w:val="0"/>
        <w:spacing w:line="240" w:lineRule="auto"/>
        <w:rPr>
          <w:rFonts w:ascii="Times New Roman" w:eastAsia="Times New Roman" w:hAnsi="Times New Roman" w:cs="Times New Roman"/>
          <w:u w:val="single"/>
        </w:rPr>
      </w:pPr>
    </w:p>
    <w:p w14:paraId="7D5F7EEF" w14:textId="61EE0A1C" w:rsidR="004F7094" w:rsidRDefault="00850FA1" w:rsidP="00CD22C7">
      <w:pPr>
        <w:widowControl w:val="0"/>
        <w:spacing w:line="240" w:lineRule="auto"/>
        <w:rPr>
          <w:rFonts w:ascii="Times New Roman" w:eastAsia="Times New Roman" w:hAnsi="Times New Roman" w:cs="Times New Roman"/>
        </w:rPr>
      </w:pPr>
      <w:r w:rsidRPr="00CD22C7">
        <w:rPr>
          <w:rFonts w:ascii="Times New Roman" w:eastAsia="Times New Roman" w:hAnsi="Times New Roman" w:cs="Times New Roman"/>
          <w:u w:val="single"/>
        </w:rPr>
        <w:t>Formatting</w:t>
      </w:r>
      <w:r>
        <w:rPr>
          <w:rFonts w:ascii="Times New Roman" w:eastAsia="Times New Roman" w:hAnsi="Times New Roman" w:cs="Times New Roman"/>
        </w:rPr>
        <w:t>:</w:t>
      </w:r>
    </w:p>
    <w:p w14:paraId="53957FDF" w14:textId="77777777" w:rsidR="004F7094" w:rsidRDefault="00850FA1" w:rsidP="00CD22C7">
      <w:pPr>
        <w:widowControl w:val="0"/>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 xml:space="preserve">8.5” x 11” paper </w:t>
      </w:r>
    </w:p>
    <w:p w14:paraId="29578154" w14:textId="77777777" w:rsidR="004F7094" w:rsidRDefault="00850FA1">
      <w:pPr>
        <w:widowControl w:val="0"/>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 xml:space="preserve">1-inch margins on all sides </w:t>
      </w:r>
    </w:p>
    <w:p w14:paraId="1D093BE6" w14:textId="77777777" w:rsidR="004F7094" w:rsidRDefault="00850FA1">
      <w:pPr>
        <w:widowControl w:val="0"/>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Times New Roman Font size 12 pt.</w:t>
      </w:r>
    </w:p>
    <w:p w14:paraId="064BABDE" w14:textId="77777777" w:rsidR="004F7094" w:rsidRDefault="00850FA1">
      <w:pPr>
        <w:widowControl w:val="0"/>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Double spacing </w:t>
      </w:r>
    </w:p>
    <w:p w14:paraId="200D17CD" w14:textId="77777777" w:rsidR="004F7094" w:rsidRDefault="00850FA1">
      <w:pPr>
        <w:widowControl w:val="0"/>
        <w:numPr>
          <w:ilvl w:val="0"/>
          <w:numId w:val="2"/>
        </w:numPr>
        <w:spacing w:after="200" w:line="240" w:lineRule="auto"/>
        <w:rPr>
          <w:rFonts w:ascii="Times New Roman" w:eastAsia="Times New Roman" w:hAnsi="Times New Roman" w:cs="Times New Roman"/>
        </w:rPr>
      </w:pPr>
      <w:r>
        <w:rPr>
          <w:rFonts w:ascii="Times New Roman" w:eastAsia="Times New Roman" w:hAnsi="Times New Roman" w:cs="Times New Roman"/>
        </w:rPr>
        <w:t>Arabic page numbers on bottom center</w:t>
      </w:r>
    </w:p>
    <w:p w14:paraId="3156D722" w14:textId="77777777" w:rsidR="004F7094" w:rsidRDefault="004F7094">
      <w:pPr>
        <w:widowControl w:val="0"/>
        <w:spacing w:after="200" w:line="240" w:lineRule="auto"/>
        <w:jc w:val="center"/>
        <w:rPr>
          <w:rFonts w:ascii="Times New Roman" w:eastAsia="Times New Roman" w:hAnsi="Times New Roman" w:cs="Times New Roman"/>
          <w:b/>
          <w:sz w:val="24"/>
          <w:szCs w:val="24"/>
        </w:rPr>
      </w:pPr>
    </w:p>
    <w:p w14:paraId="6B880E03" w14:textId="77777777" w:rsidR="004F7094" w:rsidRDefault="004F7094">
      <w:pPr>
        <w:widowControl w:val="0"/>
        <w:spacing w:after="200" w:line="240" w:lineRule="auto"/>
        <w:jc w:val="center"/>
        <w:rPr>
          <w:rFonts w:ascii="Times New Roman" w:eastAsia="Times New Roman" w:hAnsi="Times New Roman" w:cs="Times New Roman"/>
          <w:b/>
          <w:sz w:val="24"/>
          <w:szCs w:val="24"/>
        </w:rPr>
      </w:pPr>
    </w:p>
    <w:p w14:paraId="5D8E810C" w14:textId="77777777" w:rsidR="004F7094" w:rsidRDefault="004F7094">
      <w:pPr>
        <w:widowControl w:val="0"/>
        <w:spacing w:after="200" w:line="240" w:lineRule="auto"/>
        <w:jc w:val="center"/>
        <w:rPr>
          <w:rFonts w:ascii="Times New Roman" w:eastAsia="Times New Roman" w:hAnsi="Times New Roman" w:cs="Times New Roman"/>
          <w:b/>
          <w:sz w:val="24"/>
          <w:szCs w:val="24"/>
        </w:rPr>
      </w:pPr>
    </w:p>
    <w:p w14:paraId="3EF9A238" w14:textId="77777777" w:rsidR="004F7094" w:rsidRDefault="004F7094">
      <w:pPr>
        <w:widowControl w:val="0"/>
        <w:spacing w:after="200" w:line="240" w:lineRule="auto"/>
        <w:jc w:val="center"/>
        <w:rPr>
          <w:rFonts w:ascii="Times New Roman" w:eastAsia="Times New Roman" w:hAnsi="Times New Roman" w:cs="Times New Roman"/>
          <w:b/>
          <w:sz w:val="24"/>
          <w:szCs w:val="24"/>
        </w:rPr>
      </w:pPr>
    </w:p>
    <w:p w14:paraId="09D117A9" w14:textId="77777777" w:rsidR="004F7094" w:rsidRDefault="004F7094">
      <w:pPr>
        <w:widowControl w:val="0"/>
        <w:spacing w:after="200" w:line="240" w:lineRule="auto"/>
        <w:jc w:val="center"/>
        <w:rPr>
          <w:rFonts w:ascii="Times New Roman" w:eastAsia="Times New Roman" w:hAnsi="Times New Roman" w:cs="Times New Roman"/>
          <w:b/>
          <w:sz w:val="24"/>
          <w:szCs w:val="24"/>
        </w:rPr>
        <w:sectPr w:rsidR="004F7094">
          <w:type w:val="continuous"/>
          <w:pgSz w:w="12240" w:h="15840"/>
          <w:pgMar w:top="1440" w:right="1440" w:bottom="1440" w:left="1080" w:header="720" w:footer="720" w:gutter="0"/>
          <w:cols w:num="2" w:space="720" w:equalWidth="0">
            <w:col w:w="4500" w:space="720"/>
            <w:col w:w="4500" w:space="0"/>
          </w:cols>
        </w:sectPr>
      </w:pPr>
    </w:p>
    <w:p w14:paraId="358575A7" w14:textId="77777777" w:rsidR="004F7094" w:rsidRDefault="00850FA1">
      <w:pPr>
        <w:widowControl w:val="0"/>
        <w:spacing w:after="200" w:line="240" w:lineRule="auto"/>
        <w:jc w:val="center"/>
        <w:rPr>
          <w:rFonts w:ascii="Verdana" w:eastAsia="Verdana" w:hAnsi="Verdana" w:cs="Verdana"/>
          <w:b/>
          <w:sz w:val="30"/>
          <w:szCs w:val="30"/>
        </w:rPr>
      </w:pPr>
      <w:r>
        <w:rPr>
          <w:rFonts w:ascii="Verdana" w:eastAsia="Verdana" w:hAnsi="Verdana" w:cs="Verdana"/>
          <w:b/>
          <w:sz w:val="30"/>
          <w:szCs w:val="30"/>
        </w:rPr>
        <w:t xml:space="preserve"> Citations</w:t>
      </w:r>
    </w:p>
    <w:p w14:paraId="5BFF578A"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In the Table of Authorities and throughout the brief, teams should follow the Uniform System of Citation when citing authorities. </w:t>
      </w:r>
    </w:p>
    <w:p w14:paraId="6DCE3B19" w14:textId="77777777" w:rsidR="004F7094" w:rsidRDefault="00850FA1">
      <w:pPr>
        <w:widowControl w:val="0"/>
        <w:spacing w:after="20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“In legal writing, citation serves two purposes: attribution and support. Citation facilitates attribution by identifying the source of the ideas developed in the text, and materials quoted or referenced therein. In general, you should provide attribution for all sources – whether legal or factual – outside your own reasoning process. Citation facilitates support by directing the reader to a specific legal or factual authority that provides support for, or is otherwise relevant to, a proposition stated in the text. Citation is used not only to tell the reader where to find the cited authority but also to indicate the nature and degree of support the authority provides.” </w:t>
      </w:r>
    </w:p>
    <w:p w14:paraId="1BBE127D" w14:textId="77777777" w:rsidR="004F7094" w:rsidRDefault="00850FA1">
      <w:pPr>
        <w:widowControl w:val="0"/>
        <w:numPr>
          <w:ilvl w:val="0"/>
          <w:numId w:val="5"/>
        </w:numPr>
        <w:spacing w:after="200" w:line="240" w:lineRule="auto"/>
        <w:jc w:val="both"/>
        <w:rPr>
          <w:rFonts w:ascii="Times New Roman" w:eastAsia="Times New Roman" w:hAnsi="Times New Roman" w:cs="Times New Roman"/>
          <w:i/>
        </w:rPr>
      </w:pPr>
      <w:r>
        <w:rPr>
          <w:rFonts w:ascii="Times New Roman" w:eastAsia="Times New Roman" w:hAnsi="Times New Roman" w:cs="Times New Roman"/>
          <w:i/>
        </w:rPr>
        <w:t xml:space="preserve">The Bluebook: A Uniform System of Citation </w:t>
      </w:r>
    </w:p>
    <w:p w14:paraId="65D8082B"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Teams should not assume authorities as listed in the List of Authorities provided by AMC3 and authorities as cited in the record follow the Uniform System of Citation. It is up to each team to provide correct citations in their briefs. </w:t>
      </w:r>
    </w:p>
    <w:p w14:paraId="2BBE53C1"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There are two basic citation forms in legal writing: full citation and short form. </w:t>
      </w:r>
    </w:p>
    <w:p w14:paraId="3F9FEFCD" w14:textId="77777777" w:rsidR="004F7094" w:rsidRDefault="00850FA1">
      <w:pPr>
        <w:widowControl w:val="0"/>
        <w:spacing w:after="20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Full Citation </w:t>
      </w:r>
    </w:p>
    <w:p w14:paraId="75BF5965"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A full case citation includes the name of the case in italics, the published source in which it may be found, the court and jurisdiction, and the year of the decision. Many state court decisions are published in more than one source. Teams may cite either the official state reporter or the regional reporter or may include a parallel citation to first the official state reporter and then the regional reporter. Examples of full case citations for common authorities are found below:</w:t>
      </w:r>
    </w:p>
    <w:p w14:paraId="48D5744C" w14:textId="77777777" w:rsidR="004F7094" w:rsidRDefault="00850FA1">
      <w:pPr>
        <w:widowControl w:val="0"/>
        <w:spacing w:after="200" w:line="240" w:lineRule="auto"/>
        <w:rPr>
          <w:rFonts w:ascii="Times New Roman" w:eastAsia="Times New Roman" w:hAnsi="Times New Roman" w:cs="Times New Roman"/>
          <w:sz w:val="21"/>
          <w:szCs w:val="21"/>
        </w:rPr>
      </w:pPr>
      <w:r>
        <w:rPr>
          <w:rFonts w:ascii="Times New Roman" w:eastAsia="Times New Roman" w:hAnsi="Times New Roman" w:cs="Times New Roman"/>
        </w:rPr>
        <w:t xml:space="preserve">Citation of a Case from a State’s Highest Court Case name, </w:t>
      </w:r>
      <w:proofErr w:type="gramStart"/>
      <w:r>
        <w:rPr>
          <w:rFonts w:ascii="Times New Roman" w:eastAsia="Times New Roman" w:hAnsi="Times New Roman" w:cs="Times New Roman"/>
        </w:rPr>
        <w:t>Regional</w:t>
      </w:r>
      <w:proofErr w:type="gramEnd"/>
      <w:r>
        <w:rPr>
          <w:rFonts w:ascii="Times New Roman" w:eastAsia="Times New Roman" w:hAnsi="Times New Roman" w:cs="Times New Roman"/>
        </w:rPr>
        <w:t xml:space="preserve"> reporter volume no. Regional reporter abbreviation First page of the case, Specific page(s) referred to (State Date of decision) </w:t>
      </w:r>
    </w:p>
    <w:tbl>
      <w:tblPr>
        <w:tblStyle w:val="a0"/>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4F7094" w14:paraId="5E9DC5CB" w14:textId="77777777">
        <w:tc>
          <w:tcPr>
            <w:tcW w:w="9720" w:type="dxa"/>
            <w:shd w:val="clear" w:color="auto" w:fill="auto"/>
            <w:tcMar>
              <w:top w:w="100" w:type="dxa"/>
              <w:left w:w="100" w:type="dxa"/>
              <w:bottom w:w="100" w:type="dxa"/>
              <w:right w:w="100" w:type="dxa"/>
            </w:tcMar>
          </w:tcPr>
          <w:p w14:paraId="3FDB6425" w14:textId="77777777" w:rsidR="004F7094" w:rsidRDefault="00850FA1">
            <w:pPr>
              <w:widowControl w:val="0"/>
              <w:pBdr>
                <w:top w:val="nil"/>
                <w:left w:val="nil"/>
                <w:bottom w:val="nil"/>
                <w:right w:val="nil"/>
                <w:between w:val="nil"/>
              </w:pBdr>
              <w:spacing w:line="240" w:lineRule="auto"/>
              <w:jc w:val="center"/>
              <w:rPr>
                <w:rFonts w:ascii="Times New Roman" w:eastAsia="Times New Roman" w:hAnsi="Times New Roman" w:cs="Times New Roman"/>
                <w:sz w:val="21"/>
                <w:szCs w:val="21"/>
              </w:rPr>
            </w:pPr>
            <w:r>
              <w:rPr>
                <w:rFonts w:ascii="Times New Roman" w:eastAsia="Times New Roman" w:hAnsi="Times New Roman" w:cs="Times New Roman"/>
                <w:i/>
                <w:sz w:val="21"/>
                <w:szCs w:val="21"/>
              </w:rPr>
              <w:t>Cheshire Medical Center v. Holbrook</w:t>
            </w:r>
            <w:r>
              <w:rPr>
                <w:rFonts w:ascii="Times New Roman" w:eastAsia="Times New Roman" w:hAnsi="Times New Roman" w:cs="Times New Roman"/>
                <w:sz w:val="21"/>
                <w:szCs w:val="21"/>
              </w:rPr>
              <w:t>, 663 A.2d 1344, 1347 (N.H. 1995)</w:t>
            </w:r>
          </w:p>
        </w:tc>
      </w:tr>
    </w:tbl>
    <w:p w14:paraId="65B9DB3B" w14:textId="77777777" w:rsidR="004F7094" w:rsidRDefault="004F7094">
      <w:pPr>
        <w:widowControl w:val="0"/>
        <w:spacing w:after="200" w:line="240" w:lineRule="auto"/>
        <w:rPr>
          <w:rFonts w:ascii="Times New Roman" w:eastAsia="Times New Roman" w:hAnsi="Times New Roman" w:cs="Times New Roman"/>
          <w:sz w:val="21"/>
          <w:szCs w:val="21"/>
        </w:rPr>
      </w:pPr>
    </w:p>
    <w:p w14:paraId="261C4226" w14:textId="77777777" w:rsidR="004F7094" w:rsidRDefault="00850FA1">
      <w:pPr>
        <w:widowControl w:val="0"/>
        <w:spacing w:after="200" w:line="240" w:lineRule="auto"/>
        <w:rPr>
          <w:rFonts w:ascii="Times New Roman" w:eastAsia="Times New Roman" w:hAnsi="Times New Roman" w:cs="Times New Roman"/>
          <w:sz w:val="21"/>
          <w:szCs w:val="21"/>
        </w:rPr>
      </w:pPr>
      <w:r>
        <w:rPr>
          <w:rFonts w:ascii="Times New Roman" w:eastAsia="Times New Roman" w:hAnsi="Times New Roman" w:cs="Times New Roman"/>
          <w:u w:val="single"/>
        </w:rPr>
        <w:t>Or</w:t>
      </w:r>
      <w:r>
        <w:rPr>
          <w:rFonts w:ascii="Times New Roman" w:eastAsia="Times New Roman" w:hAnsi="Times New Roman" w:cs="Times New Roman"/>
        </w:rPr>
        <w:t xml:space="preserve"> Case name, State reporter volume no. State reporter abbreviation First page of the case, Specific page(s) referred to (State Date of decision) </w:t>
      </w:r>
    </w:p>
    <w:tbl>
      <w:tblPr>
        <w:tblStyle w:val="a1"/>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4F7094" w14:paraId="3491091A" w14:textId="77777777">
        <w:tc>
          <w:tcPr>
            <w:tcW w:w="9720" w:type="dxa"/>
            <w:shd w:val="clear" w:color="auto" w:fill="auto"/>
            <w:tcMar>
              <w:top w:w="100" w:type="dxa"/>
              <w:left w:w="100" w:type="dxa"/>
              <w:bottom w:w="100" w:type="dxa"/>
              <w:right w:w="100" w:type="dxa"/>
            </w:tcMar>
          </w:tcPr>
          <w:p w14:paraId="25226BDF" w14:textId="77777777" w:rsidR="004F7094" w:rsidRDefault="00850FA1">
            <w:pPr>
              <w:widowControl w:val="0"/>
              <w:pBdr>
                <w:top w:val="nil"/>
                <w:left w:val="nil"/>
                <w:bottom w:val="nil"/>
                <w:right w:val="nil"/>
                <w:between w:val="nil"/>
              </w:pBdr>
              <w:spacing w:line="240" w:lineRule="auto"/>
              <w:jc w:val="center"/>
              <w:rPr>
                <w:rFonts w:ascii="Times New Roman" w:eastAsia="Times New Roman" w:hAnsi="Times New Roman" w:cs="Times New Roman"/>
                <w:sz w:val="21"/>
                <w:szCs w:val="21"/>
              </w:rPr>
            </w:pPr>
            <w:r>
              <w:rPr>
                <w:rFonts w:ascii="Times New Roman" w:eastAsia="Times New Roman" w:hAnsi="Times New Roman" w:cs="Times New Roman"/>
                <w:i/>
                <w:sz w:val="21"/>
                <w:szCs w:val="21"/>
              </w:rPr>
              <w:t>Cheshire Medical Center v. Holbrook</w:t>
            </w:r>
            <w:r>
              <w:rPr>
                <w:rFonts w:ascii="Times New Roman" w:eastAsia="Times New Roman" w:hAnsi="Times New Roman" w:cs="Times New Roman"/>
                <w:sz w:val="21"/>
                <w:szCs w:val="21"/>
              </w:rPr>
              <w:t xml:space="preserve">, 140 N.H. 187, 190 (1995) </w:t>
            </w:r>
          </w:p>
        </w:tc>
      </w:tr>
    </w:tbl>
    <w:p w14:paraId="5BD973D3" w14:textId="77777777" w:rsidR="00DE5CB7" w:rsidRDefault="00DE5CB7">
      <w:pPr>
        <w:widowControl w:val="0"/>
        <w:spacing w:after="200" w:line="240" w:lineRule="auto"/>
        <w:rPr>
          <w:rFonts w:ascii="Times New Roman" w:eastAsia="Times New Roman" w:hAnsi="Times New Roman" w:cs="Times New Roman"/>
          <w:sz w:val="21"/>
          <w:szCs w:val="21"/>
          <w:u w:val="single"/>
        </w:rPr>
      </w:pPr>
    </w:p>
    <w:p w14:paraId="0946701D" w14:textId="77777777" w:rsidR="00DE5CB7" w:rsidRDefault="00DE5CB7">
      <w:pPr>
        <w:widowControl w:val="0"/>
        <w:spacing w:after="200" w:line="240" w:lineRule="auto"/>
        <w:rPr>
          <w:rFonts w:ascii="Times New Roman" w:eastAsia="Times New Roman" w:hAnsi="Times New Roman" w:cs="Times New Roman"/>
          <w:sz w:val="21"/>
          <w:szCs w:val="21"/>
          <w:u w:val="single"/>
        </w:rPr>
      </w:pPr>
    </w:p>
    <w:p w14:paraId="4F6F42FF" w14:textId="77777777" w:rsidR="00DE5CB7" w:rsidRDefault="00DE5CB7">
      <w:pPr>
        <w:widowControl w:val="0"/>
        <w:spacing w:after="200" w:line="240" w:lineRule="auto"/>
        <w:rPr>
          <w:rFonts w:ascii="Times New Roman" w:eastAsia="Times New Roman" w:hAnsi="Times New Roman" w:cs="Times New Roman"/>
          <w:sz w:val="21"/>
          <w:szCs w:val="21"/>
          <w:u w:val="single"/>
        </w:rPr>
      </w:pPr>
    </w:p>
    <w:p w14:paraId="3B17020A" w14:textId="6E47B172" w:rsidR="004F7094" w:rsidRDefault="00850FA1">
      <w:pPr>
        <w:widowControl w:val="0"/>
        <w:spacing w:after="20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u w:val="single"/>
        </w:rPr>
        <w:t>Or</w:t>
      </w:r>
      <w:r>
        <w:rPr>
          <w:rFonts w:ascii="Times New Roman" w:eastAsia="Times New Roman" w:hAnsi="Times New Roman" w:cs="Times New Roman"/>
          <w:sz w:val="21"/>
          <w:szCs w:val="21"/>
        </w:rPr>
        <w:t xml:space="preserve"> Case name, State reporter volume no. State reporter abbreviation First page of the case, Specific page(s) </w:t>
      </w:r>
      <w:r>
        <w:rPr>
          <w:rFonts w:ascii="Times New Roman" w:eastAsia="Times New Roman" w:hAnsi="Times New Roman" w:cs="Times New Roman"/>
          <w:sz w:val="21"/>
          <w:szCs w:val="21"/>
        </w:rPr>
        <w:lastRenderedPageBreak/>
        <w:t xml:space="preserve">referred to, </w:t>
      </w:r>
      <w:proofErr w:type="gramStart"/>
      <w:r>
        <w:rPr>
          <w:rFonts w:ascii="Times New Roman" w:eastAsia="Times New Roman" w:hAnsi="Times New Roman" w:cs="Times New Roman"/>
          <w:sz w:val="21"/>
          <w:szCs w:val="21"/>
        </w:rPr>
        <w:t>Regional</w:t>
      </w:r>
      <w:proofErr w:type="gramEnd"/>
      <w:r>
        <w:rPr>
          <w:rFonts w:ascii="Times New Roman" w:eastAsia="Times New Roman" w:hAnsi="Times New Roman" w:cs="Times New Roman"/>
          <w:sz w:val="21"/>
          <w:szCs w:val="21"/>
        </w:rPr>
        <w:t xml:space="preserve"> reporter volume no. Regional reporter abbreviation First page of the case, Specific page(s) referred to (Date of decision) </w:t>
      </w:r>
    </w:p>
    <w:tbl>
      <w:tblPr>
        <w:tblStyle w:val="a2"/>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4F7094" w14:paraId="6C476678" w14:textId="77777777">
        <w:tc>
          <w:tcPr>
            <w:tcW w:w="9720" w:type="dxa"/>
            <w:shd w:val="clear" w:color="auto" w:fill="auto"/>
            <w:tcMar>
              <w:top w:w="100" w:type="dxa"/>
              <w:left w:w="100" w:type="dxa"/>
              <w:bottom w:w="100" w:type="dxa"/>
              <w:right w:w="100" w:type="dxa"/>
            </w:tcMar>
          </w:tcPr>
          <w:p w14:paraId="7CB5FA11" w14:textId="77777777" w:rsidR="004F7094" w:rsidRDefault="00850FA1">
            <w:pPr>
              <w:widowControl w:val="0"/>
              <w:pBdr>
                <w:top w:val="nil"/>
                <w:left w:val="nil"/>
                <w:bottom w:val="nil"/>
                <w:right w:val="nil"/>
                <w:between w:val="nil"/>
              </w:pBdr>
              <w:spacing w:line="240" w:lineRule="auto"/>
              <w:jc w:val="center"/>
              <w:rPr>
                <w:rFonts w:ascii="Times New Roman" w:eastAsia="Times New Roman" w:hAnsi="Times New Roman" w:cs="Times New Roman"/>
                <w:sz w:val="21"/>
                <w:szCs w:val="21"/>
              </w:rPr>
            </w:pPr>
            <w:r>
              <w:rPr>
                <w:rFonts w:ascii="Times New Roman" w:eastAsia="Times New Roman" w:hAnsi="Times New Roman" w:cs="Times New Roman"/>
                <w:i/>
                <w:sz w:val="21"/>
                <w:szCs w:val="21"/>
              </w:rPr>
              <w:t>Cheshire Medical Center v. Holbrook</w:t>
            </w:r>
            <w:r>
              <w:rPr>
                <w:rFonts w:ascii="Times New Roman" w:eastAsia="Times New Roman" w:hAnsi="Times New Roman" w:cs="Times New Roman"/>
                <w:sz w:val="21"/>
                <w:szCs w:val="21"/>
              </w:rPr>
              <w:t>, 140 N.H. 187, 663 A.2d 1344 (1995)</w:t>
            </w:r>
          </w:p>
        </w:tc>
      </w:tr>
    </w:tbl>
    <w:p w14:paraId="0A32F305" w14:textId="77777777" w:rsidR="004F7094" w:rsidRDefault="004F7094">
      <w:pPr>
        <w:widowControl w:val="0"/>
        <w:spacing w:after="200" w:line="240" w:lineRule="auto"/>
        <w:rPr>
          <w:rFonts w:ascii="Times New Roman" w:eastAsia="Times New Roman" w:hAnsi="Times New Roman" w:cs="Times New Roman"/>
          <w:sz w:val="21"/>
          <w:szCs w:val="21"/>
        </w:rPr>
      </w:pPr>
    </w:p>
    <w:p w14:paraId="5FA1D02B" w14:textId="77777777" w:rsidR="004F7094" w:rsidRDefault="00850FA1">
      <w:pPr>
        <w:widowControl w:val="0"/>
        <w:spacing w:after="200" w:line="240" w:lineRule="auto"/>
        <w:rPr>
          <w:rFonts w:ascii="Times New Roman" w:eastAsia="Times New Roman" w:hAnsi="Times New Roman" w:cs="Times New Roman"/>
          <w:sz w:val="21"/>
          <w:szCs w:val="21"/>
        </w:rPr>
      </w:pPr>
      <w:r>
        <w:rPr>
          <w:rFonts w:ascii="Times New Roman" w:eastAsia="Times New Roman" w:hAnsi="Times New Roman" w:cs="Times New Roman"/>
        </w:rPr>
        <w:t xml:space="preserve">Citation of a Case Decided by Any Lower State Court </w:t>
      </w:r>
    </w:p>
    <w:tbl>
      <w:tblPr>
        <w:tblStyle w:val="a3"/>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4F7094" w14:paraId="0F9EF8D6" w14:textId="77777777">
        <w:tc>
          <w:tcPr>
            <w:tcW w:w="9720" w:type="dxa"/>
            <w:shd w:val="clear" w:color="auto" w:fill="auto"/>
            <w:tcMar>
              <w:top w:w="100" w:type="dxa"/>
              <w:left w:w="100" w:type="dxa"/>
              <w:bottom w:w="100" w:type="dxa"/>
              <w:right w:w="100" w:type="dxa"/>
            </w:tcMar>
          </w:tcPr>
          <w:p w14:paraId="5DBBFB27" w14:textId="77777777" w:rsidR="004F7094" w:rsidRDefault="00850FA1">
            <w:pPr>
              <w:widowControl w:val="0"/>
              <w:pBdr>
                <w:top w:val="nil"/>
                <w:left w:val="nil"/>
                <w:bottom w:val="nil"/>
                <w:right w:val="nil"/>
                <w:between w:val="nil"/>
              </w:pBdr>
              <w:spacing w:line="240" w:lineRule="auto"/>
              <w:jc w:val="center"/>
              <w:rPr>
                <w:rFonts w:ascii="Times New Roman" w:eastAsia="Times New Roman" w:hAnsi="Times New Roman" w:cs="Times New Roman"/>
                <w:sz w:val="21"/>
                <w:szCs w:val="21"/>
              </w:rPr>
            </w:pPr>
            <w:proofErr w:type="spellStart"/>
            <w:r>
              <w:rPr>
                <w:rFonts w:ascii="Times New Roman" w:eastAsia="Times New Roman" w:hAnsi="Times New Roman" w:cs="Times New Roman"/>
                <w:i/>
                <w:sz w:val="21"/>
                <w:szCs w:val="21"/>
              </w:rPr>
              <w:t>Missibama</w:t>
            </w:r>
            <w:proofErr w:type="spellEnd"/>
            <w:r>
              <w:rPr>
                <w:rFonts w:ascii="Times New Roman" w:eastAsia="Times New Roman" w:hAnsi="Times New Roman" w:cs="Times New Roman"/>
                <w:i/>
                <w:sz w:val="21"/>
                <w:szCs w:val="21"/>
              </w:rPr>
              <w:t xml:space="preserve"> Regional Medical Center v. Smythe</w:t>
            </w:r>
            <w:r>
              <w:rPr>
                <w:rFonts w:ascii="Times New Roman" w:eastAsia="Times New Roman" w:hAnsi="Times New Roman" w:cs="Times New Roman"/>
                <w:sz w:val="21"/>
                <w:szCs w:val="21"/>
              </w:rPr>
              <w:t xml:space="preserve">, 38 Misba. App. 2d 383 (Misba. Ct. App. 2010). </w:t>
            </w:r>
          </w:p>
        </w:tc>
      </w:tr>
    </w:tbl>
    <w:p w14:paraId="60BCF245" w14:textId="77777777" w:rsidR="004F7094" w:rsidRDefault="004F7094">
      <w:pPr>
        <w:widowControl w:val="0"/>
        <w:spacing w:after="200" w:line="240" w:lineRule="auto"/>
        <w:ind w:firstLine="720"/>
        <w:rPr>
          <w:rFonts w:ascii="Times New Roman" w:eastAsia="Times New Roman" w:hAnsi="Times New Roman" w:cs="Times New Roman"/>
          <w:sz w:val="21"/>
          <w:szCs w:val="21"/>
        </w:rPr>
      </w:pPr>
    </w:p>
    <w:p w14:paraId="4BA73AAD" w14:textId="77777777" w:rsidR="004F7094" w:rsidRDefault="00850FA1">
      <w:pPr>
        <w:widowControl w:val="0"/>
        <w:spacing w:after="20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Short Form</w:t>
      </w:r>
    </w:p>
    <w:p w14:paraId="6982D11E"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Once teams have cited an authority in the text of the brief, teams may use a short form in later citations of the same authority. </w:t>
      </w:r>
    </w:p>
    <w:p w14:paraId="5A9D56AC"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Generally, this will be written as</w:t>
      </w:r>
    </w:p>
    <w:tbl>
      <w:tblPr>
        <w:tblStyle w:val="a4"/>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4F7094" w14:paraId="2AF9528F" w14:textId="77777777">
        <w:tc>
          <w:tcPr>
            <w:tcW w:w="9720" w:type="dxa"/>
            <w:shd w:val="clear" w:color="auto" w:fill="auto"/>
            <w:tcMar>
              <w:top w:w="100" w:type="dxa"/>
              <w:left w:w="100" w:type="dxa"/>
              <w:bottom w:w="100" w:type="dxa"/>
              <w:right w:w="100" w:type="dxa"/>
            </w:tcMar>
          </w:tcPr>
          <w:p w14:paraId="6112D81A" w14:textId="77777777" w:rsidR="004F7094" w:rsidRDefault="00850FA1">
            <w:pPr>
              <w:widowControl w:val="0"/>
              <w:pBdr>
                <w:top w:val="nil"/>
                <w:left w:val="nil"/>
                <w:bottom w:val="nil"/>
                <w:right w:val="nil"/>
                <w:between w:val="nil"/>
              </w:pBdr>
              <w:spacing w:line="240" w:lineRule="auto"/>
              <w:jc w:val="center"/>
              <w:rPr>
                <w:rFonts w:ascii="Times New Roman" w:eastAsia="Times New Roman" w:hAnsi="Times New Roman" w:cs="Times New Roman"/>
                <w:sz w:val="21"/>
                <w:szCs w:val="21"/>
              </w:rPr>
            </w:pPr>
            <w:r>
              <w:rPr>
                <w:rFonts w:ascii="Times New Roman" w:eastAsia="Times New Roman" w:hAnsi="Times New Roman" w:cs="Times New Roman"/>
                <w:i/>
                <w:sz w:val="21"/>
                <w:szCs w:val="21"/>
              </w:rPr>
              <w:t>Bethel</w:t>
            </w:r>
            <w:r>
              <w:rPr>
                <w:rFonts w:ascii="Times New Roman" w:eastAsia="Times New Roman" w:hAnsi="Times New Roman" w:cs="Times New Roman"/>
                <w:sz w:val="21"/>
                <w:szCs w:val="21"/>
              </w:rPr>
              <w:t xml:space="preserve">, 478 U.S. at 583. </w:t>
            </w:r>
          </w:p>
        </w:tc>
      </w:tr>
    </w:tbl>
    <w:p w14:paraId="39E10E1E" w14:textId="77777777" w:rsidR="004F7094" w:rsidRDefault="004F7094">
      <w:pPr>
        <w:widowControl w:val="0"/>
        <w:spacing w:after="200" w:line="240" w:lineRule="auto"/>
        <w:rPr>
          <w:rFonts w:ascii="Times New Roman" w:eastAsia="Times New Roman" w:hAnsi="Times New Roman" w:cs="Times New Roman"/>
        </w:rPr>
      </w:pPr>
    </w:p>
    <w:p w14:paraId="09E76A65"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Or when referencing the same source as the previous</w:t>
      </w:r>
    </w:p>
    <w:tbl>
      <w:tblPr>
        <w:tblStyle w:val="a5"/>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4F7094" w14:paraId="4D5B0A9C" w14:textId="77777777">
        <w:tc>
          <w:tcPr>
            <w:tcW w:w="9720" w:type="dxa"/>
            <w:shd w:val="clear" w:color="auto" w:fill="auto"/>
            <w:tcMar>
              <w:top w:w="100" w:type="dxa"/>
              <w:left w:w="100" w:type="dxa"/>
              <w:bottom w:w="100" w:type="dxa"/>
              <w:right w:w="100" w:type="dxa"/>
            </w:tcMar>
          </w:tcPr>
          <w:p w14:paraId="0DE961D6" w14:textId="77777777" w:rsidR="004F7094" w:rsidRDefault="00850FA1">
            <w:pPr>
              <w:widowControl w:val="0"/>
              <w:spacing w:line="240" w:lineRule="auto"/>
              <w:jc w:val="center"/>
              <w:rPr>
                <w:rFonts w:ascii="Times New Roman" w:eastAsia="Times New Roman" w:hAnsi="Times New Roman" w:cs="Times New Roman"/>
                <w:sz w:val="21"/>
                <w:szCs w:val="21"/>
              </w:rPr>
            </w:pPr>
            <w:r>
              <w:rPr>
                <w:rFonts w:ascii="Times New Roman" w:eastAsia="Times New Roman" w:hAnsi="Times New Roman" w:cs="Times New Roman"/>
                <w:i/>
                <w:sz w:val="21"/>
                <w:szCs w:val="21"/>
              </w:rPr>
              <w:t>Id</w:t>
            </w:r>
            <w:r>
              <w:rPr>
                <w:rFonts w:ascii="Times New Roman" w:eastAsia="Times New Roman" w:hAnsi="Times New Roman" w:cs="Times New Roman"/>
                <w:sz w:val="21"/>
                <w:szCs w:val="21"/>
              </w:rPr>
              <w:t xml:space="preserve">. at 583. </w:t>
            </w:r>
          </w:p>
        </w:tc>
      </w:tr>
    </w:tbl>
    <w:p w14:paraId="38B2E188" w14:textId="77777777" w:rsidR="004F7094" w:rsidRDefault="004F7094">
      <w:pPr>
        <w:widowControl w:val="0"/>
        <w:spacing w:after="200" w:line="240" w:lineRule="auto"/>
        <w:rPr>
          <w:rFonts w:ascii="Times New Roman" w:eastAsia="Times New Roman" w:hAnsi="Times New Roman" w:cs="Times New Roman"/>
        </w:rPr>
      </w:pPr>
    </w:p>
    <w:p w14:paraId="4182F699" w14:textId="77777777" w:rsidR="004F7094" w:rsidRDefault="00850FA1">
      <w:pPr>
        <w:widowControl w:val="0"/>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6"/>
          <w:szCs w:val="26"/>
        </w:rPr>
        <w:t>Other Sources</w:t>
      </w:r>
      <w:r>
        <w:rPr>
          <w:rFonts w:ascii="Times New Roman" w:eastAsia="Times New Roman" w:hAnsi="Times New Roman" w:cs="Times New Roman"/>
          <w:b/>
          <w:sz w:val="24"/>
          <w:szCs w:val="24"/>
        </w:rPr>
        <w:t xml:space="preserve"> </w:t>
      </w:r>
    </w:p>
    <w:p w14:paraId="583B1D67"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u w:val="single"/>
        </w:rPr>
        <w:t>Citation of the U.S. Constitution</w:t>
      </w:r>
      <w:r>
        <w:rPr>
          <w:rFonts w:ascii="Times New Roman" w:eastAsia="Times New Roman" w:hAnsi="Times New Roman" w:cs="Times New Roman"/>
        </w:rPr>
        <w:t xml:space="preserve">: ABBREVIATION FOR CONSTITUTION. article or amendment no, § number of </w:t>
      </w:r>
      <w:proofErr w:type="gramStart"/>
      <w:r>
        <w:rPr>
          <w:rFonts w:ascii="Times New Roman" w:eastAsia="Times New Roman" w:hAnsi="Times New Roman" w:cs="Times New Roman"/>
        </w:rPr>
        <w:t>section</w:t>
      </w:r>
      <w:proofErr w:type="gramEnd"/>
      <w:r>
        <w:rPr>
          <w:rFonts w:ascii="Times New Roman" w:eastAsia="Times New Roman" w:hAnsi="Times New Roman" w:cs="Times New Roman"/>
        </w:rPr>
        <w:t xml:space="preserve"> cited </w:t>
      </w:r>
    </w:p>
    <w:tbl>
      <w:tblPr>
        <w:tblStyle w:val="a6"/>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7320"/>
      </w:tblGrid>
      <w:tr w:rsidR="004F7094" w14:paraId="4BAFD12A" w14:textId="77777777">
        <w:tc>
          <w:tcPr>
            <w:tcW w:w="2400" w:type="dxa"/>
            <w:shd w:val="clear" w:color="auto" w:fill="auto"/>
            <w:tcMar>
              <w:top w:w="100" w:type="dxa"/>
              <w:left w:w="100" w:type="dxa"/>
              <w:bottom w:w="100" w:type="dxa"/>
              <w:right w:w="100" w:type="dxa"/>
            </w:tcMar>
          </w:tcPr>
          <w:p w14:paraId="6EE3DFBE" w14:textId="77777777" w:rsidR="004F7094" w:rsidRDefault="00850FA1">
            <w:pPr>
              <w:widowControl w:val="0"/>
              <w:pBdr>
                <w:top w:val="nil"/>
                <w:left w:val="nil"/>
                <w:bottom w:val="nil"/>
                <w:right w:val="nil"/>
                <w:between w:val="nil"/>
              </w:pBdr>
              <w:spacing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For Article</w:t>
            </w:r>
          </w:p>
        </w:tc>
        <w:tc>
          <w:tcPr>
            <w:tcW w:w="7320" w:type="dxa"/>
            <w:shd w:val="clear" w:color="auto" w:fill="auto"/>
            <w:tcMar>
              <w:top w:w="100" w:type="dxa"/>
              <w:left w:w="100" w:type="dxa"/>
              <w:bottom w:w="100" w:type="dxa"/>
              <w:right w:w="100" w:type="dxa"/>
            </w:tcMar>
          </w:tcPr>
          <w:p w14:paraId="370B685F" w14:textId="77777777" w:rsidR="004F7094" w:rsidRDefault="00850FA1">
            <w:pPr>
              <w:widowControl w:val="0"/>
              <w:pBdr>
                <w:top w:val="nil"/>
                <w:left w:val="nil"/>
                <w:bottom w:val="nil"/>
                <w:right w:val="nil"/>
                <w:between w:val="nil"/>
              </w:pBdr>
              <w:spacing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U.S. CONST. art. I, § 9. cl. 2. </w:t>
            </w:r>
          </w:p>
        </w:tc>
      </w:tr>
      <w:tr w:rsidR="004F7094" w14:paraId="6E09BFAB" w14:textId="77777777">
        <w:tc>
          <w:tcPr>
            <w:tcW w:w="2400" w:type="dxa"/>
            <w:shd w:val="clear" w:color="auto" w:fill="auto"/>
            <w:tcMar>
              <w:top w:w="100" w:type="dxa"/>
              <w:left w:w="100" w:type="dxa"/>
              <w:bottom w:w="100" w:type="dxa"/>
              <w:right w:w="100" w:type="dxa"/>
            </w:tcMar>
          </w:tcPr>
          <w:p w14:paraId="32F80B21" w14:textId="77777777" w:rsidR="004F7094" w:rsidRDefault="00850FA1">
            <w:pPr>
              <w:widowControl w:val="0"/>
              <w:pBdr>
                <w:top w:val="nil"/>
                <w:left w:val="nil"/>
                <w:bottom w:val="nil"/>
                <w:right w:val="nil"/>
                <w:between w:val="nil"/>
              </w:pBdr>
              <w:spacing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For Amendment</w:t>
            </w:r>
          </w:p>
        </w:tc>
        <w:tc>
          <w:tcPr>
            <w:tcW w:w="7320" w:type="dxa"/>
            <w:shd w:val="clear" w:color="auto" w:fill="auto"/>
            <w:tcMar>
              <w:top w:w="100" w:type="dxa"/>
              <w:left w:w="100" w:type="dxa"/>
              <w:bottom w:w="100" w:type="dxa"/>
              <w:right w:w="100" w:type="dxa"/>
            </w:tcMar>
          </w:tcPr>
          <w:p w14:paraId="70CFC6C7" w14:textId="77777777" w:rsidR="004F7094" w:rsidRDefault="00850FA1">
            <w:pPr>
              <w:widowControl w:val="0"/>
              <w:pBdr>
                <w:top w:val="nil"/>
                <w:left w:val="nil"/>
                <w:bottom w:val="nil"/>
                <w:right w:val="nil"/>
                <w:between w:val="nil"/>
              </w:pBdr>
              <w:spacing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U.S. CONST. art. I, § 9. cl. 2. </w:t>
            </w:r>
          </w:p>
        </w:tc>
      </w:tr>
    </w:tbl>
    <w:p w14:paraId="070AFB3C" w14:textId="77777777" w:rsidR="004F7094" w:rsidRDefault="004F7094">
      <w:pPr>
        <w:widowControl w:val="0"/>
        <w:spacing w:after="200" w:line="240" w:lineRule="auto"/>
        <w:rPr>
          <w:rFonts w:ascii="Times New Roman" w:eastAsia="Times New Roman" w:hAnsi="Times New Roman" w:cs="Times New Roman"/>
        </w:rPr>
      </w:pPr>
    </w:p>
    <w:p w14:paraId="4B54E6DE"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u w:val="single"/>
        </w:rPr>
        <w:t>Citation of a State Constitution</w:t>
      </w:r>
      <w:r>
        <w:rPr>
          <w:rFonts w:ascii="Times New Roman" w:eastAsia="Times New Roman" w:hAnsi="Times New Roman" w:cs="Times New Roman"/>
        </w:rPr>
        <w:t xml:space="preserve">: ABBREVIATION FOR CONSTITUTION. article or amendment no, § number of </w:t>
      </w:r>
      <w:proofErr w:type="gramStart"/>
      <w:r>
        <w:rPr>
          <w:rFonts w:ascii="Times New Roman" w:eastAsia="Times New Roman" w:hAnsi="Times New Roman" w:cs="Times New Roman"/>
        </w:rPr>
        <w:t>section</w:t>
      </w:r>
      <w:proofErr w:type="gramEnd"/>
      <w:r>
        <w:rPr>
          <w:rFonts w:ascii="Times New Roman" w:eastAsia="Times New Roman" w:hAnsi="Times New Roman" w:cs="Times New Roman"/>
        </w:rPr>
        <w:t xml:space="preserve"> cited </w:t>
      </w:r>
    </w:p>
    <w:tbl>
      <w:tblPr>
        <w:tblStyle w:val="a7"/>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4F7094" w14:paraId="3F7AB837" w14:textId="77777777">
        <w:tc>
          <w:tcPr>
            <w:tcW w:w="9720" w:type="dxa"/>
            <w:shd w:val="clear" w:color="auto" w:fill="auto"/>
            <w:tcMar>
              <w:top w:w="100" w:type="dxa"/>
              <w:left w:w="100" w:type="dxa"/>
              <w:bottom w:w="100" w:type="dxa"/>
              <w:right w:w="100" w:type="dxa"/>
            </w:tcMar>
          </w:tcPr>
          <w:p w14:paraId="1329A3B9" w14:textId="77777777" w:rsidR="004F7094" w:rsidRDefault="00850FA1">
            <w:pPr>
              <w:widowControl w:val="0"/>
              <w:spacing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TENN. CONST. art IV, § 2. </w:t>
            </w:r>
          </w:p>
        </w:tc>
      </w:tr>
    </w:tbl>
    <w:p w14:paraId="61F9DECF" w14:textId="77777777" w:rsidR="004F7094" w:rsidRDefault="004F7094">
      <w:pPr>
        <w:widowControl w:val="0"/>
        <w:spacing w:after="200" w:line="240" w:lineRule="auto"/>
        <w:rPr>
          <w:rFonts w:ascii="Times New Roman" w:eastAsia="Times New Roman" w:hAnsi="Times New Roman" w:cs="Times New Roman"/>
        </w:rPr>
      </w:pPr>
    </w:p>
    <w:p w14:paraId="49E59A51"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u w:val="single"/>
        </w:rPr>
        <w:t>Citation of a State Statute</w:t>
      </w:r>
      <w:r>
        <w:rPr>
          <w:rFonts w:ascii="Times New Roman" w:eastAsia="Times New Roman" w:hAnsi="Times New Roman" w:cs="Times New Roman"/>
        </w:rPr>
        <w:t xml:space="preserve">: Name of statute, STATE CODE title/chapter/section number (year of code) </w:t>
      </w:r>
    </w:p>
    <w:tbl>
      <w:tblPr>
        <w:tblStyle w:val="a8"/>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4F7094" w14:paraId="18D5DCAD" w14:textId="77777777">
        <w:tc>
          <w:tcPr>
            <w:tcW w:w="9720" w:type="dxa"/>
            <w:shd w:val="clear" w:color="auto" w:fill="auto"/>
            <w:tcMar>
              <w:top w:w="100" w:type="dxa"/>
              <w:left w:w="100" w:type="dxa"/>
              <w:bottom w:w="100" w:type="dxa"/>
              <w:right w:w="100" w:type="dxa"/>
            </w:tcMar>
          </w:tcPr>
          <w:p w14:paraId="085DFD94" w14:textId="77777777" w:rsidR="004F7094" w:rsidRDefault="00850FA1">
            <w:pPr>
              <w:widowControl w:val="0"/>
              <w:pBdr>
                <w:top w:val="nil"/>
                <w:left w:val="nil"/>
                <w:bottom w:val="nil"/>
                <w:right w:val="nil"/>
                <w:between w:val="nil"/>
              </w:pBdr>
              <w:spacing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Married Women’s Act, TENN. CODE ANN. </w:t>
            </w:r>
            <w:proofErr w:type="spellStart"/>
            <w:r>
              <w:rPr>
                <w:rFonts w:ascii="Times New Roman" w:eastAsia="Times New Roman" w:hAnsi="Times New Roman" w:cs="Times New Roman"/>
                <w:sz w:val="21"/>
                <w:szCs w:val="21"/>
              </w:rPr>
              <w:t>ch.</w:t>
            </w:r>
            <w:proofErr w:type="spellEnd"/>
            <w:r>
              <w:rPr>
                <w:rFonts w:ascii="Times New Roman" w:eastAsia="Times New Roman" w:hAnsi="Times New Roman" w:cs="Times New Roman"/>
                <w:sz w:val="21"/>
                <w:szCs w:val="21"/>
              </w:rPr>
              <w:t xml:space="preserve"> 460 (1992). </w:t>
            </w:r>
          </w:p>
        </w:tc>
      </w:tr>
    </w:tbl>
    <w:p w14:paraId="5F7F9E61" w14:textId="77777777" w:rsidR="004F7094" w:rsidRDefault="004F7094">
      <w:pPr>
        <w:widowControl w:val="0"/>
        <w:spacing w:after="200" w:line="240" w:lineRule="auto"/>
        <w:rPr>
          <w:rFonts w:ascii="Times New Roman" w:eastAsia="Times New Roman" w:hAnsi="Times New Roman" w:cs="Times New Roman"/>
        </w:rPr>
      </w:pPr>
    </w:p>
    <w:p w14:paraId="3DEBDEA8"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u w:val="single"/>
        </w:rPr>
        <w:lastRenderedPageBreak/>
        <w:t>Citation of State Rules of Civil Procedure</w:t>
      </w:r>
      <w:r>
        <w:rPr>
          <w:rFonts w:ascii="Times New Roman" w:eastAsia="Times New Roman" w:hAnsi="Times New Roman" w:cs="Times New Roman"/>
        </w:rPr>
        <w:t xml:space="preserve">: ABBREVIATION OF SET OF RULES CITED Number of </w:t>
      </w:r>
      <w:proofErr w:type="gramStart"/>
      <w:r>
        <w:rPr>
          <w:rFonts w:ascii="Times New Roman" w:eastAsia="Times New Roman" w:hAnsi="Times New Roman" w:cs="Times New Roman"/>
        </w:rPr>
        <w:t>rule</w:t>
      </w:r>
      <w:proofErr w:type="gramEnd"/>
      <w:r>
        <w:rPr>
          <w:rFonts w:ascii="Times New Roman" w:eastAsia="Times New Roman" w:hAnsi="Times New Roman" w:cs="Times New Roman"/>
        </w:rPr>
        <w:t xml:space="preserve"> cited </w:t>
      </w:r>
    </w:p>
    <w:tbl>
      <w:tblPr>
        <w:tblStyle w:val="a9"/>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4F7094" w14:paraId="008C5218" w14:textId="77777777">
        <w:tc>
          <w:tcPr>
            <w:tcW w:w="9720" w:type="dxa"/>
            <w:shd w:val="clear" w:color="auto" w:fill="auto"/>
            <w:tcMar>
              <w:top w:w="100" w:type="dxa"/>
              <w:left w:w="100" w:type="dxa"/>
              <w:bottom w:w="100" w:type="dxa"/>
              <w:right w:w="100" w:type="dxa"/>
            </w:tcMar>
          </w:tcPr>
          <w:p w14:paraId="1CC9B0B2" w14:textId="77777777" w:rsidR="004F7094" w:rsidRDefault="00850FA1">
            <w:pPr>
              <w:widowControl w:val="0"/>
              <w:pBdr>
                <w:top w:val="nil"/>
                <w:left w:val="nil"/>
                <w:bottom w:val="nil"/>
                <w:right w:val="nil"/>
                <w:between w:val="nil"/>
              </w:pBdr>
              <w:spacing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MISBA. R. CIV. P. 12(b)(6) </w:t>
            </w:r>
          </w:p>
        </w:tc>
      </w:tr>
    </w:tbl>
    <w:p w14:paraId="22360364" w14:textId="77777777" w:rsidR="004F7094" w:rsidRDefault="004F7094">
      <w:pPr>
        <w:widowControl w:val="0"/>
        <w:spacing w:after="200" w:line="240" w:lineRule="auto"/>
        <w:rPr>
          <w:rFonts w:ascii="Times New Roman" w:eastAsia="Times New Roman" w:hAnsi="Times New Roman" w:cs="Times New Roman"/>
        </w:rPr>
      </w:pPr>
    </w:p>
    <w:p w14:paraId="0D2CCE4D"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u w:val="single"/>
        </w:rPr>
        <w:t>Citation of the Record</w:t>
      </w:r>
      <w:r>
        <w:rPr>
          <w:rFonts w:ascii="Times New Roman" w:eastAsia="Times New Roman" w:hAnsi="Times New Roman" w:cs="Times New Roman"/>
        </w:rPr>
        <w:t xml:space="preserve">: R. at Page(s) referred to </w:t>
      </w:r>
    </w:p>
    <w:tbl>
      <w:tblPr>
        <w:tblStyle w:val="aa"/>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4F7094" w14:paraId="2BAF53D5" w14:textId="77777777">
        <w:tc>
          <w:tcPr>
            <w:tcW w:w="9720" w:type="dxa"/>
            <w:shd w:val="clear" w:color="auto" w:fill="auto"/>
            <w:tcMar>
              <w:top w:w="100" w:type="dxa"/>
              <w:left w:w="100" w:type="dxa"/>
              <w:bottom w:w="100" w:type="dxa"/>
              <w:right w:w="100" w:type="dxa"/>
            </w:tcMar>
          </w:tcPr>
          <w:p w14:paraId="0AF31D15" w14:textId="77777777" w:rsidR="004F7094" w:rsidRDefault="00850FA1">
            <w:pPr>
              <w:widowControl w:val="0"/>
              <w:pBdr>
                <w:top w:val="nil"/>
                <w:left w:val="nil"/>
                <w:bottom w:val="nil"/>
                <w:right w:val="nil"/>
                <w:between w:val="nil"/>
              </w:pBdr>
              <w:spacing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R. at 2.</w:t>
            </w:r>
          </w:p>
        </w:tc>
      </w:tr>
    </w:tbl>
    <w:p w14:paraId="002FE01F" w14:textId="77777777" w:rsidR="004F7094" w:rsidRDefault="004F7094">
      <w:pPr>
        <w:widowControl w:val="0"/>
        <w:spacing w:after="200" w:line="240" w:lineRule="auto"/>
        <w:rPr>
          <w:rFonts w:ascii="Times New Roman" w:eastAsia="Times New Roman" w:hAnsi="Times New Roman" w:cs="Times New Roman"/>
        </w:rPr>
      </w:pPr>
    </w:p>
    <w:p w14:paraId="47B5B6E7" w14:textId="77777777" w:rsidR="004F7094" w:rsidRDefault="00850FA1">
      <w:pPr>
        <w:widowControl w:val="0"/>
        <w:spacing w:after="200" w:line="240" w:lineRule="auto"/>
        <w:rPr>
          <w:rFonts w:ascii="Times New Roman" w:eastAsia="Times New Roman" w:hAnsi="Times New Roman" w:cs="Times New Roman"/>
          <w:u w:val="single"/>
        </w:rPr>
      </w:pPr>
      <w:r>
        <w:rPr>
          <w:rFonts w:ascii="Times New Roman" w:eastAsia="Times New Roman" w:hAnsi="Times New Roman" w:cs="Times New Roman"/>
          <w:u w:val="single"/>
        </w:rPr>
        <w:t xml:space="preserve">Additional information and other examples of proper citation can be found in The Bluebook: A Uniform System of Citation. Cambridge, Mass.: The Harvard Law Review Association. </w:t>
      </w:r>
    </w:p>
    <w:p w14:paraId="21368F81" w14:textId="77777777" w:rsidR="004F7094" w:rsidRDefault="00850FA1">
      <w:pPr>
        <w:widowControl w:val="0"/>
        <w:spacing w:after="20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Example</w:t>
      </w:r>
    </w:p>
    <w:p w14:paraId="452C0E4C"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The paragraphs below provide an example of the correct way to use full citation and short form in the text of a brief. </w:t>
      </w:r>
    </w:p>
    <w:p w14:paraId="462D498F" w14:textId="77777777" w:rsidR="004F7094" w:rsidRDefault="00850FA1">
      <w:pPr>
        <w:widowControl w:val="0"/>
        <w:spacing w:after="200"/>
        <w:rPr>
          <w:rFonts w:ascii="Times New Roman" w:eastAsia="Times New Roman" w:hAnsi="Times New Roman" w:cs="Times New Roman"/>
        </w:rPr>
        <w:sectPr w:rsidR="004F7094">
          <w:type w:val="continuous"/>
          <w:pgSz w:w="12240" w:h="15840"/>
          <w:pgMar w:top="1440" w:right="1440" w:bottom="1440" w:left="1080" w:header="720" w:footer="720" w:gutter="0"/>
          <w:cols w:space="720" w:equalWidth="0">
            <w:col w:w="9720" w:space="0"/>
          </w:cols>
        </w:sectPr>
      </w:pPr>
      <w:r>
        <w:rPr>
          <w:rFonts w:ascii="Times New Roman" w:eastAsia="Times New Roman" w:hAnsi="Times New Roman" w:cs="Times New Roman"/>
        </w:rPr>
        <w:tab/>
        <w:t xml:space="preserve">The First Amendment provides U.S. citizens with the freedom of speech. U.S. CONST. amend. I. To remain within the boundaries of the First Amendment, a school must show that restricted student speech would substantially interfere with the school’s operation. </w:t>
      </w:r>
      <w:r>
        <w:rPr>
          <w:rFonts w:ascii="Times New Roman" w:eastAsia="Times New Roman" w:hAnsi="Times New Roman" w:cs="Times New Roman"/>
          <w:i/>
        </w:rPr>
        <w:t xml:space="preserve">Tinker v. Des Moines </w:t>
      </w:r>
      <w:proofErr w:type="spellStart"/>
      <w:r>
        <w:rPr>
          <w:rFonts w:ascii="Times New Roman" w:eastAsia="Times New Roman" w:hAnsi="Times New Roman" w:cs="Times New Roman"/>
          <w:i/>
        </w:rPr>
        <w:t>Indep</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Cmty</w:t>
      </w:r>
      <w:proofErr w:type="spellEnd"/>
      <w:r>
        <w:rPr>
          <w:rFonts w:ascii="Times New Roman" w:eastAsia="Times New Roman" w:hAnsi="Times New Roman" w:cs="Times New Roman"/>
          <w:i/>
        </w:rPr>
        <w:t>. Sch. Dist</w:t>
      </w:r>
      <w:r>
        <w:rPr>
          <w:rFonts w:ascii="Times New Roman" w:eastAsia="Times New Roman" w:hAnsi="Times New Roman" w:cs="Times New Roman"/>
        </w:rPr>
        <w:t xml:space="preserve">., 393 U.S. 503, 513 (1969). The content and nature of the speech may provide for further restriction on student speech. A school has more leeway in prohibiting speech that is vulgar or offensive. </w:t>
      </w:r>
      <w:r>
        <w:rPr>
          <w:rFonts w:ascii="Times New Roman" w:eastAsia="Times New Roman" w:hAnsi="Times New Roman" w:cs="Times New Roman"/>
          <w:i/>
        </w:rPr>
        <w:t>Bethel Sch. Dist. No. 403 v. Fraser</w:t>
      </w:r>
      <w:r>
        <w:rPr>
          <w:rFonts w:ascii="Times New Roman" w:eastAsia="Times New Roman" w:hAnsi="Times New Roman" w:cs="Times New Roman"/>
        </w:rPr>
        <w:t xml:space="preserve">, 478 U.S. 675, 683 (1986). Additionally, a school may exercise more control over student speech in school-sponsored activities </w:t>
      </w:r>
      <w:proofErr w:type="gramStart"/>
      <w:r>
        <w:rPr>
          <w:rFonts w:ascii="Times New Roman" w:eastAsia="Times New Roman" w:hAnsi="Times New Roman" w:cs="Times New Roman"/>
        </w:rPr>
        <w:t>as long as</w:t>
      </w:r>
      <w:proofErr w:type="gramEnd"/>
      <w:r>
        <w:rPr>
          <w:rFonts w:ascii="Times New Roman" w:eastAsia="Times New Roman" w:hAnsi="Times New Roman" w:cs="Times New Roman"/>
        </w:rPr>
        <w:t xml:space="preserve"> this control relates to legitimate pedagogical concerns. </w:t>
      </w:r>
      <w:r>
        <w:rPr>
          <w:rFonts w:ascii="Times New Roman" w:eastAsia="Times New Roman" w:hAnsi="Times New Roman" w:cs="Times New Roman"/>
          <w:i/>
        </w:rPr>
        <w:t>Hazelwood Sch. Dist. v Kuhlmeier</w:t>
      </w:r>
      <w:r>
        <w:rPr>
          <w:rFonts w:ascii="Times New Roman" w:eastAsia="Times New Roman" w:hAnsi="Times New Roman" w:cs="Times New Roman"/>
        </w:rPr>
        <w:t xml:space="preserve">, 484 U.S. 260, 273 (1988). This Court requires that a school may only regulate political speech that is not vulgar or school-sponsored if the speech would substantially disrupt school operations or interfere with the rights of others. </w:t>
      </w:r>
      <w:r>
        <w:rPr>
          <w:rFonts w:ascii="Times New Roman" w:eastAsia="Times New Roman" w:hAnsi="Times New Roman" w:cs="Times New Roman"/>
          <w:i/>
        </w:rPr>
        <w:t>Saxe ex rel. Saxe v. State Coll. Area Sch. Dist</w:t>
      </w:r>
      <w:r>
        <w:rPr>
          <w:rFonts w:ascii="Times New Roman" w:eastAsia="Times New Roman" w:hAnsi="Times New Roman" w:cs="Times New Roman"/>
        </w:rPr>
        <w:t xml:space="preserve">., 240 F.3d 200, 214 (3d Cir. 2001). Here, because there is no evidence of substantial disruption or reasonable expectation of disruption, materially and substantially interfere with the operation of the school or the rights of others. </w:t>
      </w:r>
      <w:r>
        <w:rPr>
          <w:rFonts w:ascii="Times New Roman" w:eastAsia="Times New Roman" w:hAnsi="Times New Roman" w:cs="Times New Roman"/>
          <w:i/>
        </w:rPr>
        <w:t>Tinker</w:t>
      </w:r>
      <w:r>
        <w:rPr>
          <w:rFonts w:ascii="Times New Roman" w:eastAsia="Times New Roman" w:hAnsi="Times New Roman" w:cs="Times New Roman"/>
        </w:rPr>
        <w:t>, 393 U.S. at 513. Tinker determined that the First Amendment protects the silent expression of disapproval of governmental policy when that speech does not substantially interfere with school operations.</w:t>
      </w:r>
      <w:r>
        <w:rPr>
          <w:rFonts w:ascii="Times New Roman" w:eastAsia="Times New Roman" w:hAnsi="Times New Roman" w:cs="Times New Roman"/>
          <w:i/>
        </w:rPr>
        <w:t xml:space="preserve"> Id</w:t>
      </w:r>
      <w:r>
        <w:rPr>
          <w:rFonts w:ascii="Times New Roman" w:eastAsia="Times New Roman" w:hAnsi="Times New Roman" w:cs="Times New Roman"/>
        </w:rPr>
        <w:t>. at 514. Like the speech in Tinker, Metcalf’s speech on the day in question did not substantially disrupt operations. Metcalf went through the entire morning without substantial disturbance concerning his interaction with other students. See R. at 11, 23. While some students commented on Metcalf’s shirt, these comments did not substantially interfere with Defendant’s ability to operate. See</w:t>
      </w:r>
      <w:r>
        <w:rPr>
          <w:rFonts w:ascii="Times New Roman" w:eastAsia="Times New Roman" w:hAnsi="Times New Roman" w:cs="Times New Roman"/>
          <w:i/>
        </w:rPr>
        <w:t xml:space="preserve"> Id.</w:t>
      </w:r>
      <w:r>
        <w:rPr>
          <w:rFonts w:ascii="Times New Roman" w:eastAsia="Times New Roman" w:hAnsi="Times New Roman" w:cs="Times New Roman"/>
        </w:rPr>
        <w:t xml:space="preserve"> at 15, 24. Likewise, when other students passed Metcalf and pointed to him, quite possibly because Metcalf was going to appear on television, there was no substantial disruption. Id. at 13 because Metcalf’s speech was political and not school-sponsored, Defendant acted unconstitutionally.</w:t>
      </w:r>
    </w:p>
    <w:p w14:paraId="526BC585" w14:textId="77777777" w:rsidR="004F7094" w:rsidRDefault="00850FA1">
      <w:pPr>
        <w:widowControl w:val="0"/>
        <w:spacing w:after="200" w:line="240" w:lineRule="auto"/>
        <w:rPr>
          <w:rFonts w:ascii="Times New Roman" w:eastAsia="Times New Roman" w:hAnsi="Times New Roman" w:cs="Times New Roman"/>
        </w:rPr>
      </w:pPr>
      <w:r>
        <w:br w:type="page"/>
      </w:r>
    </w:p>
    <w:p w14:paraId="0B855F9A" w14:textId="77777777" w:rsidR="004F7094" w:rsidRDefault="00850FA1">
      <w:pPr>
        <w:widowControl w:val="0"/>
        <w:spacing w:after="20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Scoring</w:t>
      </w:r>
    </w:p>
    <w:p w14:paraId="16B15A15"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Judges will score the briefs based on the following criteria: </w:t>
      </w:r>
    </w:p>
    <w:p w14:paraId="2CD9A7E1" w14:textId="77777777" w:rsidR="004F7094" w:rsidRDefault="00850FA1">
      <w:pPr>
        <w:widowControl w:val="0"/>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Follows template </w:t>
      </w:r>
    </w:p>
    <w:p w14:paraId="350A2AD2" w14:textId="77777777" w:rsidR="004F7094" w:rsidRDefault="00850FA1">
      <w:pPr>
        <w:widowControl w:val="0"/>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 Clear, concise statement of the case </w:t>
      </w:r>
    </w:p>
    <w:p w14:paraId="62198A16" w14:textId="77777777" w:rsidR="004F7094" w:rsidRDefault="00850FA1">
      <w:pPr>
        <w:widowControl w:val="0"/>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Effective communication of the facts </w:t>
      </w:r>
    </w:p>
    <w:p w14:paraId="08D358FE" w14:textId="77777777" w:rsidR="004F7094" w:rsidRDefault="00850FA1">
      <w:pPr>
        <w:widowControl w:val="0"/>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Summary of the argument which allows the reader to quickly discern the main legal points of the brief’s argument </w:t>
      </w:r>
    </w:p>
    <w:p w14:paraId="2F09CA70" w14:textId="77777777" w:rsidR="004F7094" w:rsidRDefault="00850FA1">
      <w:pPr>
        <w:widowControl w:val="0"/>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Argument </w:t>
      </w:r>
    </w:p>
    <w:p w14:paraId="25A7ED13" w14:textId="77777777" w:rsidR="004F7094" w:rsidRDefault="00850FA1">
      <w:pPr>
        <w:widowControl w:val="0"/>
        <w:numPr>
          <w:ilvl w:val="1"/>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Effective use of authorities </w:t>
      </w:r>
    </w:p>
    <w:p w14:paraId="363EC932" w14:textId="77777777" w:rsidR="004F7094" w:rsidRDefault="00850FA1">
      <w:pPr>
        <w:widowControl w:val="0"/>
        <w:numPr>
          <w:ilvl w:val="1"/>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Effective use of facts </w:t>
      </w:r>
    </w:p>
    <w:p w14:paraId="21B94E18" w14:textId="77777777" w:rsidR="004F7094" w:rsidRDefault="00850FA1">
      <w:pPr>
        <w:widowControl w:val="0"/>
        <w:numPr>
          <w:ilvl w:val="1"/>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Clear, coherent, and well-reasoned legal arguments tailored to respond to the questions presented </w:t>
      </w:r>
    </w:p>
    <w:p w14:paraId="5CF5BAC5" w14:textId="77777777" w:rsidR="004F7094" w:rsidRDefault="00850FA1">
      <w:pPr>
        <w:widowControl w:val="0"/>
        <w:numPr>
          <w:ilvl w:val="1"/>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Organization </w:t>
      </w:r>
    </w:p>
    <w:p w14:paraId="5A0AFF6A" w14:textId="77777777" w:rsidR="004F7094" w:rsidRDefault="00850FA1">
      <w:pPr>
        <w:widowControl w:val="0"/>
        <w:numPr>
          <w:ilvl w:val="0"/>
          <w:numId w:val="1"/>
        </w:numPr>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Appropriate citation </w:t>
      </w:r>
    </w:p>
    <w:p w14:paraId="72F57C44" w14:textId="77777777" w:rsidR="004F7094" w:rsidRDefault="00850FA1">
      <w:pPr>
        <w:widowControl w:val="0"/>
        <w:spacing w:after="200" w:line="240" w:lineRule="auto"/>
        <w:jc w:val="center"/>
        <w:rPr>
          <w:rFonts w:ascii="Verdana" w:eastAsia="Verdana" w:hAnsi="Verdana" w:cs="Verdana"/>
          <w:b/>
          <w:sz w:val="30"/>
          <w:szCs w:val="30"/>
        </w:rPr>
      </w:pPr>
      <w:r>
        <w:rPr>
          <w:rFonts w:ascii="Verdana" w:eastAsia="Verdana" w:hAnsi="Verdana" w:cs="Verdana"/>
          <w:b/>
          <w:sz w:val="30"/>
          <w:szCs w:val="30"/>
        </w:rPr>
        <w:t xml:space="preserve">ORAL ARGUMENTS </w:t>
      </w:r>
    </w:p>
    <w:p w14:paraId="4EAD3915"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All delegates shall wear appropriate business attire for official functions. Gentlemen shall wear a coat and tie. Ladies shall wear professional slacks or appropriate-length dresses or skirts. Casual dress such as Greek attire, jeans, hoodies, and flip-flops are unacceptable at official functions. </w:t>
      </w:r>
    </w:p>
    <w:p w14:paraId="6673C88C"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If the Clerk &amp; Marshall receives a complaint about a competitor’s attire, the Clerk and Marshall shall refer the complaint to the delegate’s Head Delegate for action. Jurors of View may also reduce the score for lawyers dressed unprofessionally. </w:t>
      </w:r>
    </w:p>
    <w:p w14:paraId="02E18E9C"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rPr>
        <w:t xml:space="preserve">2. </w:t>
      </w:r>
      <w:r>
        <w:rPr>
          <w:rFonts w:ascii="Times New Roman" w:eastAsia="Times New Roman" w:hAnsi="Times New Roman" w:cs="Times New Roman"/>
        </w:rPr>
        <w:t xml:space="preserve">Make every effort to arrive at the designated courtroom early. If a team is not present at the designated start time for the appellate hearing, the Court may order that the team forfeit that appellate hearing. A reservation of rebuttal time by the Petitioner (if desired) </w:t>
      </w:r>
      <w:proofErr w:type="gramStart"/>
      <w:r>
        <w:rPr>
          <w:rFonts w:ascii="Times New Roman" w:eastAsia="Times New Roman" w:hAnsi="Times New Roman" w:cs="Times New Roman"/>
        </w:rPr>
        <w:t>and also</w:t>
      </w:r>
      <w:proofErr w:type="gramEnd"/>
      <w:r>
        <w:rPr>
          <w:rFonts w:ascii="Times New Roman" w:eastAsia="Times New Roman" w:hAnsi="Times New Roman" w:cs="Times New Roman"/>
        </w:rPr>
        <w:t xml:space="preserve"> the name of each team participant arguing the case and the time allocation desired for each of them must be submitted in writing to the Clerk and Marshall at the appellate hearing prior to the opening of the Court. </w:t>
      </w:r>
    </w:p>
    <w:p w14:paraId="2228B1CB"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rPr>
        <w:t xml:space="preserve">3. </w:t>
      </w:r>
      <w:r>
        <w:rPr>
          <w:rFonts w:ascii="Times New Roman" w:eastAsia="Times New Roman" w:hAnsi="Times New Roman" w:cs="Times New Roman"/>
        </w:rPr>
        <w:t xml:space="preserve">Attorneys participating in oral arguments shall not wear their nametags during AMC3 hearings, as these nametags reveal a delegate’s school. Attorneys should not bring any school apparel or anything else identifying their school affiliation into oral argument hearings. To maintain the fairness of the competition, attorney participants shall at no time during or after an appellate proceeding reveal their college affiliation to members of the Jury of View. AMC3 participants are encouraged to wear their nametags at all other times to facilitate peer interaction. This includes in the hallways, during joint sessions of the General Assembly, at dinner, and at all other TISL functions. </w:t>
      </w:r>
    </w:p>
    <w:p w14:paraId="0E39784A"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rPr>
        <w:t xml:space="preserve">4. </w:t>
      </w:r>
      <w:r>
        <w:rPr>
          <w:rFonts w:ascii="Times New Roman" w:eastAsia="Times New Roman" w:hAnsi="Times New Roman" w:cs="Times New Roman"/>
        </w:rPr>
        <w:t xml:space="preserve">A clerk shall command all present to rise upon the Judges’ entry into the Courtroom. The presiding Judge shall order the clerk to open the proceedings of the Court. After opening Court, the clerk shall command all present to sit. </w:t>
      </w:r>
    </w:p>
    <w:p w14:paraId="4DC87A8F"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rPr>
        <w:t xml:space="preserve">5. </w:t>
      </w:r>
      <w:r>
        <w:rPr>
          <w:rFonts w:ascii="Times New Roman" w:eastAsia="Times New Roman" w:hAnsi="Times New Roman" w:cs="Times New Roman"/>
        </w:rPr>
        <w:t xml:space="preserve">The Presiding Judge shall order the clerk to call the Docket. The clerk shall call the Docket by announcing the team numbers of the Petitioner and Respondent to the case and the names of the participants for the team arguing for the Petitioner. The clerk shall then also announce the names of participants for the team arguing for the Respondent. </w:t>
      </w:r>
    </w:p>
    <w:p w14:paraId="1F12AB53"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rPr>
        <w:t>6.</w:t>
      </w:r>
      <w:r>
        <w:rPr>
          <w:rFonts w:ascii="Times New Roman" w:eastAsia="Times New Roman" w:hAnsi="Times New Roman" w:cs="Times New Roman"/>
        </w:rPr>
        <w:t xml:space="preserve"> The Presiding Judge will then </w:t>
      </w:r>
      <w:proofErr w:type="gramStart"/>
      <w:r>
        <w:rPr>
          <w:rFonts w:ascii="Times New Roman" w:eastAsia="Times New Roman" w:hAnsi="Times New Roman" w:cs="Times New Roman"/>
        </w:rPr>
        <w:t>say</w:t>
      </w:r>
      <w:proofErr w:type="gramEnd"/>
      <w:r>
        <w:rPr>
          <w:rFonts w:ascii="Times New Roman" w:eastAsia="Times New Roman" w:hAnsi="Times New Roman" w:cs="Times New Roman"/>
        </w:rPr>
        <w:t xml:space="preserve"> “Petitioner you may begin your argument”. At that point, the first participant shall approach the podium, state “May It Please the Court, I am ________ for the Petitioner” and begin his/her argument. </w:t>
      </w:r>
    </w:p>
    <w:p w14:paraId="2A434DCB"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rPr>
        <w:t xml:space="preserve">7. </w:t>
      </w:r>
      <w:r>
        <w:rPr>
          <w:rFonts w:ascii="Times New Roman" w:eastAsia="Times New Roman" w:hAnsi="Times New Roman" w:cs="Times New Roman"/>
        </w:rPr>
        <w:t xml:space="preserve">In arguing before the Court, you may use notes but always try to maintain eye contact with the Judges to the extent possible. When addressing the Court, whether in answering a question or otherwise, always address the Court or any judge as, “Your Honor…” Where appropriate, use hand gestures and/or voice inflections to emphasize key points. </w:t>
      </w:r>
    </w:p>
    <w:p w14:paraId="730C38E3"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rPr>
        <w:t xml:space="preserve">8. </w:t>
      </w:r>
      <w:r>
        <w:rPr>
          <w:rFonts w:ascii="Times New Roman" w:eastAsia="Times New Roman" w:hAnsi="Times New Roman" w:cs="Times New Roman"/>
        </w:rPr>
        <w:t xml:space="preserve">The Petitioner usually begins with a very concise statement of the facts, unless the Presiding Judge indicates that a statement of facts is not necessary. Keep in mind that in an appellate court, the parties are not arguing about the factual issues </w:t>
      </w:r>
      <w:r>
        <w:rPr>
          <w:rFonts w:ascii="Times New Roman" w:eastAsia="Times New Roman" w:hAnsi="Times New Roman" w:cs="Times New Roman"/>
        </w:rPr>
        <w:lastRenderedPageBreak/>
        <w:t xml:space="preserve">that have usually been determined by the trial court. Thus, the Petitioner should be prepared to quickly move to a summary of the legal issues that are before the appellate court. After the </w:t>
      </w:r>
      <w:proofErr w:type="gramStart"/>
      <w:r>
        <w:rPr>
          <w:rFonts w:ascii="Times New Roman" w:eastAsia="Times New Roman" w:hAnsi="Times New Roman" w:cs="Times New Roman"/>
        </w:rPr>
        <w:t>brief summary</w:t>
      </w:r>
      <w:proofErr w:type="gramEnd"/>
      <w:r>
        <w:rPr>
          <w:rFonts w:ascii="Times New Roman" w:eastAsia="Times New Roman" w:hAnsi="Times New Roman" w:cs="Times New Roman"/>
        </w:rPr>
        <w:t xml:space="preserve">, begin presenting your legal arguments point by point and citing cases or other authorities from the Table of Authorities to support your arguments. Begin with your strongest arguments first if you run out of time. </w:t>
      </w:r>
    </w:p>
    <w:p w14:paraId="36EF5BFE"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rPr>
        <w:t xml:space="preserve">9. </w:t>
      </w:r>
      <w:r>
        <w:rPr>
          <w:rFonts w:ascii="Times New Roman" w:eastAsia="Times New Roman" w:hAnsi="Times New Roman" w:cs="Times New Roman"/>
        </w:rPr>
        <w:t xml:space="preserve">You should expect to be interrupted by questions posed by the Judges. The proper handling of judges’ questions is one of the finest traits of the accomplished appellate attorney. Questions generally allow you to demonstrate your knowledge of the law that applies to the case. Stop speaking when the Judge begins the questions and listen to the whole question before answering. Answer the question as quickly and to the point as you can. Do not evade the question. After answering, transition back into your arguments and continue. </w:t>
      </w:r>
    </w:p>
    <w:p w14:paraId="17A8FF1C"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rPr>
        <w:t xml:space="preserve">10. </w:t>
      </w:r>
      <w:r>
        <w:rPr>
          <w:rFonts w:ascii="Times New Roman" w:eastAsia="Times New Roman" w:hAnsi="Times New Roman" w:cs="Times New Roman"/>
        </w:rPr>
        <w:t xml:space="preserve">When the time allotted for the first participant for the Petitioner is near </w:t>
      </w:r>
      <w:proofErr w:type="gramStart"/>
      <w:r>
        <w:rPr>
          <w:rFonts w:ascii="Times New Roman" w:eastAsia="Times New Roman" w:hAnsi="Times New Roman" w:cs="Times New Roman"/>
        </w:rPr>
        <w:t>exhausted</w:t>
      </w:r>
      <w:proofErr w:type="gramEnd"/>
      <w:r>
        <w:rPr>
          <w:rFonts w:ascii="Times New Roman" w:eastAsia="Times New Roman" w:hAnsi="Times New Roman" w:cs="Times New Roman"/>
        </w:rPr>
        <w:t xml:space="preserve">, be sure to summarize your arguments and finish on time. At that point, the second participant to address the Court for the Petitioner should stand at the podium and await the signal from the Presiding Judge to begin. </w:t>
      </w:r>
    </w:p>
    <w:p w14:paraId="494F94DC"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rPr>
        <w:t xml:space="preserve">11. </w:t>
      </w:r>
      <w:r>
        <w:rPr>
          <w:rFonts w:ascii="Times New Roman" w:eastAsia="Times New Roman" w:hAnsi="Times New Roman" w:cs="Times New Roman"/>
        </w:rPr>
        <w:t xml:space="preserve"> If the Petitioner has reserved time for rebuttal, then after the participants have completed their arguments to the Court for the Respondent, the participant giving Rebuttal for the Petitioner should stand at the podium and await the signal from the Presiding Judge to begin. </w:t>
      </w:r>
    </w:p>
    <w:p w14:paraId="69E5A7E4" w14:textId="17BC9C93" w:rsidR="004F7094" w:rsidRPr="00850FA1"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Rebuttal is used to respond to arguments raised by the Respondent in argument before the Court. Responding to arguments by the Respondent also usually gives the Petitioner’s participant the opportunity to emphasize the strongest arguments raised by the Petitioners. Rebuttal may not be used to argue new issues before the Court. </w:t>
      </w:r>
    </w:p>
    <w:p w14:paraId="2A66C95F"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rPr>
        <w:t xml:space="preserve">12. </w:t>
      </w:r>
      <w:r>
        <w:rPr>
          <w:rFonts w:ascii="Times New Roman" w:eastAsia="Times New Roman" w:hAnsi="Times New Roman" w:cs="Times New Roman"/>
        </w:rPr>
        <w:t xml:space="preserve">The procedures for arguments by the Respondent’s participants are the same as those used by the Petitioner except for two points. First, the Respondent’s statement of the facts of the case is usually limited to pointing out any facts that the </w:t>
      </w:r>
      <w:r>
        <w:rPr>
          <w:rFonts w:ascii="Times New Roman" w:eastAsia="Times New Roman" w:hAnsi="Times New Roman" w:cs="Times New Roman"/>
        </w:rPr>
        <w:t xml:space="preserve">Respondent believes the Petitioner omitted or did not state accurately. Second, the Respondent is not entitled to give a Rebuttal. </w:t>
      </w:r>
    </w:p>
    <w:p w14:paraId="4447F86F"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rPr>
        <w:t xml:space="preserve">13. </w:t>
      </w:r>
      <w:r>
        <w:rPr>
          <w:rFonts w:ascii="Times New Roman" w:eastAsia="Times New Roman" w:hAnsi="Times New Roman" w:cs="Times New Roman"/>
        </w:rPr>
        <w:t xml:space="preserve">After the Petitioner has concluded the Rebuttal, or if there is no Rebuttal after the Respondent has concluded the argument, the Presiding Judge will order the Clerk and Marshall to adjourn Court. </w:t>
      </w:r>
    </w:p>
    <w:p w14:paraId="181299A3"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rPr>
        <w:t xml:space="preserve">14. </w:t>
      </w:r>
      <w:r>
        <w:rPr>
          <w:rFonts w:ascii="Times New Roman" w:eastAsia="Times New Roman" w:hAnsi="Times New Roman" w:cs="Times New Roman"/>
        </w:rPr>
        <w:t xml:space="preserve">The Clerk and Marshall will command all persons to rise. All persons will remain standing until the Judges have exited the Courtroom. </w:t>
      </w:r>
    </w:p>
    <w:p w14:paraId="1C9CB77E"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The members of the Jury of View shall complete scoring the Petitioner and Respondent teams.</w:t>
      </w:r>
    </w:p>
    <w:p w14:paraId="433815DE"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The Jury of View shall hold a brief oral critique session collectively with all four teams that participated in the appellate hearing. This critique session will take place after all four teams scheduled for a particular time slot have argued and not between oral arguments. Even after a round has concluded, competitors shall not reveal the school they attend to the Jury of View.  </w:t>
      </w:r>
    </w:p>
    <w:p w14:paraId="59ABCF39" w14:textId="77777777" w:rsidR="004F7094" w:rsidRDefault="00850FA1">
      <w:pPr>
        <w:widowControl w:val="0"/>
        <w:spacing w:after="200" w:line="240" w:lineRule="auto"/>
        <w:jc w:val="center"/>
        <w:rPr>
          <w:rFonts w:ascii="Verdana" w:eastAsia="Verdana" w:hAnsi="Verdana" w:cs="Verdana"/>
          <w:b/>
          <w:sz w:val="30"/>
          <w:szCs w:val="30"/>
        </w:rPr>
      </w:pPr>
      <w:r>
        <w:br w:type="page"/>
      </w:r>
    </w:p>
    <w:p w14:paraId="2F3994ED" w14:textId="77777777" w:rsidR="004F7094" w:rsidRDefault="00850FA1">
      <w:pPr>
        <w:widowControl w:val="0"/>
        <w:spacing w:after="200" w:line="240" w:lineRule="auto"/>
        <w:jc w:val="center"/>
        <w:rPr>
          <w:rFonts w:ascii="Verdana" w:eastAsia="Verdana" w:hAnsi="Verdana" w:cs="Verdana"/>
          <w:b/>
          <w:sz w:val="30"/>
          <w:szCs w:val="30"/>
        </w:rPr>
      </w:pPr>
      <w:r>
        <w:rPr>
          <w:rFonts w:ascii="Verdana" w:eastAsia="Verdana" w:hAnsi="Verdana" w:cs="Verdana"/>
          <w:b/>
          <w:sz w:val="30"/>
          <w:szCs w:val="30"/>
        </w:rPr>
        <w:lastRenderedPageBreak/>
        <w:t>Jurors of View</w:t>
      </w:r>
    </w:p>
    <w:p w14:paraId="4F130C0F" w14:textId="77777777" w:rsidR="004F7094" w:rsidRDefault="00850FA1">
      <w:pPr>
        <w:widowControl w:val="0"/>
        <w:spacing w:after="200" w:line="240" w:lineRule="auto"/>
        <w:jc w:val="center"/>
        <w:rPr>
          <w:rFonts w:ascii="Verdana" w:eastAsia="Verdana" w:hAnsi="Verdana" w:cs="Verdana"/>
          <w:sz w:val="24"/>
          <w:szCs w:val="24"/>
        </w:rPr>
      </w:pPr>
      <w:r>
        <w:rPr>
          <w:rFonts w:ascii="Verdana" w:eastAsia="Verdana" w:hAnsi="Verdana" w:cs="Verdana"/>
          <w:sz w:val="24"/>
          <w:szCs w:val="24"/>
        </w:rPr>
        <w:t xml:space="preserve">Thank you for serving on a Jury of View for the Appellate Moot Court Collegiate Challenge (AMC3). You play a crucial role in the competition, as you will see. </w:t>
      </w:r>
    </w:p>
    <w:p w14:paraId="28C26BA0" w14:textId="77777777" w:rsidR="004F7094" w:rsidRDefault="00850FA1">
      <w:pPr>
        <w:widowControl w:val="0"/>
        <w:spacing w:after="200" w:line="240" w:lineRule="auto"/>
        <w:jc w:val="center"/>
        <w:rPr>
          <w:rFonts w:ascii="Verdana" w:eastAsia="Verdana" w:hAnsi="Verdana" w:cs="Verdana"/>
          <w:b/>
          <w:sz w:val="24"/>
          <w:szCs w:val="24"/>
        </w:rPr>
      </w:pPr>
      <w:r>
        <w:rPr>
          <w:rFonts w:ascii="Verdana" w:eastAsia="Verdana" w:hAnsi="Verdana" w:cs="Verdana"/>
          <w:b/>
          <w:sz w:val="24"/>
          <w:szCs w:val="24"/>
        </w:rPr>
        <w:t>Overview</w:t>
      </w:r>
    </w:p>
    <w:p w14:paraId="45A79A3D"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AMC3 (www.TISLonline.org/amc3) is overseen by the Tennessee Intercollegiate Supreme Court (TISC), which is selected and structured like the Tennessee Supreme Court. </w:t>
      </w:r>
    </w:p>
    <w:p w14:paraId="49D4EA14"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Five justices are selected through a merit system involving applications, a student Nominating Commission, and appointment by the Governor of TISL. </w:t>
      </w:r>
    </w:p>
    <w:p w14:paraId="0824EBE4"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The justices elect the Chief Justice. The outgoing Court selects the next Attorney General. The current Court was installed last November and has been preparing all year. </w:t>
      </w:r>
    </w:p>
    <w:p w14:paraId="0B7A4F84"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TISC presides over AMC3, assisted in preliminary rounds by court-appointed magistrates to permit simultaneous operation of multiple courts throughout rounds Thursday and Friday</w:t>
      </w:r>
    </w:p>
    <w:p w14:paraId="6E492B94"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At the beginning of August, The AMC3 problem is published for all teams</w:t>
      </w:r>
    </w:p>
    <w:p w14:paraId="0819C88D"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Tennessee colleges are encouraged to form legal teams of two to five members. None of these students are in law school. Nearly all are undergraduates, although non-law graduate students are also allowed.</w:t>
      </w:r>
    </w:p>
    <w:p w14:paraId="602F7F65"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Teams are intentionally identified by number to diminish perceptions of college bias. Teams should not identify their college in Court. </w:t>
      </w:r>
    </w:p>
    <w:p w14:paraId="19372C0C"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Each team submits a brief two weeks in advance for either the petitioner or the respondent (team’s choice). Those are graded separately and count for one-third of each team’s score in the competition. Oral arguments count for the remaining two-thirds. </w:t>
      </w:r>
    </w:p>
    <w:p w14:paraId="63E44055" w14:textId="77777777" w:rsidR="00850FA1" w:rsidRDefault="00850FA1">
      <w:pPr>
        <w:widowControl w:val="0"/>
        <w:spacing w:after="200" w:line="240" w:lineRule="auto"/>
        <w:rPr>
          <w:rFonts w:ascii="Times New Roman" w:eastAsia="Times New Roman" w:hAnsi="Times New Roman" w:cs="Times New Roman"/>
        </w:rPr>
      </w:pPr>
    </w:p>
    <w:p w14:paraId="74A1807A" w14:textId="39CF61B5"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Ideally, each round is observed by three jurors, but our scoring system adjusts </w:t>
      </w:r>
      <w:proofErr w:type="gramStart"/>
      <w:r>
        <w:rPr>
          <w:rFonts w:ascii="Times New Roman" w:eastAsia="Times New Roman" w:hAnsi="Times New Roman" w:cs="Times New Roman"/>
        </w:rPr>
        <w:t>for more or less</w:t>
      </w:r>
      <w:proofErr w:type="gramEnd"/>
      <w:r>
        <w:rPr>
          <w:rFonts w:ascii="Times New Roman" w:eastAsia="Times New Roman" w:hAnsi="Times New Roman" w:cs="Times New Roman"/>
        </w:rPr>
        <w:t>.</w:t>
      </w:r>
    </w:p>
    <w:p w14:paraId="72CACA65"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After two back-to-back rounds of oral arguments (less than 90 minutes total), jurors provide group feedback to the teams they watched (potentially four). Depending on whether another round is about to begin, you might need to move outside the courtroom. </w:t>
      </w:r>
    </w:p>
    <w:p w14:paraId="68C36B1E" w14:textId="77777777" w:rsidR="004F7094" w:rsidRDefault="00850FA1">
      <w:pPr>
        <w:widowControl w:val="0"/>
        <w:spacing w:after="200" w:line="240" w:lineRule="auto"/>
        <w:jc w:val="center"/>
        <w:rPr>
          <w:rFonts w:ascii="Verdana" w:eastAsia="Verdana" w:hAnsi="Verdana" w:cs="Verdana"/>
          <w:b/>
          <w:sz w:val="26"/>
          <w:szCs w:val="26"/>
        </w:rPr>
      </w:pPr>
      <w:r>
        <w:rPr>
          <w:rFonts w:ascii="Verdana" w:eastAsia="Verdana" w:hAnsi="Verdana" w:cs="Verdana"/>
          <w:b/>
          <w:sz w:val="26"/>
          <w:szCs w:val="26"/>
        </w:rPr>
        <w:t>Arriving</w:t>
      </w:r>
    </w:p>
    <w:p w14:paraId="2BF1436E"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Your first contact is the Clerk &amp; Marshall at his/her desk outside the courtroom. The C&amp;M will direct you to your assigned courtroom. </w:t>
      </w:r>
    </w:p>
    <w:p w14:paraId="61B48B28" w14:textId="77777777" w:rsidR="004F7094" w:rsidRDefault="00850FA1">
      <w:pPr>
        <w:widowControl w:val="0"/>
        <w:spacing w:line="240" w:lineRule="auto"/>
        <w:rPr>
          <w:rFonts w:ascii="Times New Roman" w:eastAsia="Times New Roman" w:hAnsi="Times New Roman" w:cs="Times New Roman"/>
          <w:u w:val="single"/>
        </w:rPr>
      </w:pPr>
      <w:r>
        <w:rPr>
          <w:rFonts w:ascii="Times New Roman" w:eastAsia="Times New Roman" w:hAnsi="Times New Roman" w:cs="Times New Roman"/>
          <w:u w:val="single"/>
        </w:rPr>
        <w:t>Where is the Clerk &amp; Marshall’s Desk?</w:t>
      </w:r>
    </w:p>
    <w:tbl>
      <w:tblPr>
        <w:tblStyle w:val="ab"/>
        <w:tblW w:w="4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565"/>
      </w:tblGrid>
      <w:tr w:rsidR="004F7094" w14:paraId="25D31890" w14:textId="77777777">
        <w:tc>
          <w:tcPr>
            <w:tcW w:w="1905" w:type="dxa"/>
            <w:shd w:val="clear" w:color="auto" w:fill="auto"/>
            <w:tcMar>
              <w:top w:w="100" w:type="dxa"/>
              <w:left w:w="100" w:type="dxa"/>
              <w:bottom w:w="100" w:type="dxa"/>
              <w:right w:w="100" w:type="dxa"/>
            </w:tcMar>
          </w:tcPr>
          <w:p w14:paraId="664B6036" w14:textId="77777777" w:rsidR="004F7094" w:rsidRDefault="00850FA1">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Thursday &amp; Friday</w:t>
            </w:r>
          </w:p>
        </w:tc>
        <w:tc>
          <w:tcPr>
            <w:tcW w:w="2565" w:type="dxa"/>
            <w:shd w:val="clear" w:color="auto" w:fill="auto"/>
            <w:tcMar>
              <w:top w:w="100" w:type="dxa"/>
              <w:left w:w="100" w:type="dxa"/>
              <w:bottom w:w="100" w:type="dxa"/>
              <w:right w:w="100" w:type="dxa"/>
            </w:tcMar>
          </w:tcPr>
          <w:p w14:paraId="74B6D9EC" w14:textId="77777777" w:rsidR="004F7094" w:rsidRDefault="00850FA1">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2nd Floor of Cordell Hull</w:t>
            </w:r>
          </w:p>
        </w:tc>
      </w:tr>
      <w:tr w:rsidR="004F7094" w14:paraId="3440DCCE" w14:textId="77777777">
        <w:tc>
          <w:tcPr>
            <w:tcW w:w="1905" w:type="dxa"/>
            <w:shd w:val="clear" w:color="auto" w:fill="auto"/>
            <w:tcMar>
              <w:top w:w="100" w:type="dxa"/>
              <w:left w:w="100" w:type="dxa"/>
              <w:bottom w:w="100" w:type="dxa"/>
              <w:right w:w="100" w:type="dxa"/>
            </w:tcMar>
          </w:tcPr>
          <w:p w14:paraId="2E622075" w14:textId="77777777" w:rsidR="004F7094" w:rsidRDefault="00850FA1">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Saturday</w:t>
            </w:r>
          </w:p>
        </w:tc>
        <w:tc>
          <w:tcPr>
            <w:tcW w:w="2565" w:type="dxa"/>
            <w:shd w:val="clear" w:color="auto" w:fill="auto"/>
            <w:tcMar>
              <w:top w:w="100" w:type="dxa"/>
              <w:left w:w="100" w:type="dxa"/>
              <w:bottom w:w="100" w:type="dxa"/>
              <w:right w:w="100" w:type="dxa"/>
            </w:tcMar>
          </w:tcPr>
          <w:p w14:paraId="058401AC" w14:textId="48160CFF" w:rsidR="004F7094" w:rsidRDefault="0015170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Will Be Announced</w:t>
            </w:r>
          </w:p>
        </w:tc>
      </w:tr>
      <w:tr w:rsidR="004F7094" w14:paraId="39640E39" w14:textId="77777777">
        <w:tc>
          <w:tcPr>
            <w:tcW w:w="1905" w:type="dxa"/>
            <w:shd w:val="clear" w:color="auto" w:fill="auto"/>
            <w:tcMar>
              <w:top w:w="100" w:type="dxa"/>
              <w:left w:w="100" w:type="dxa"/>
              <w:bottom w:w="100" w:type="dxa"/>
              <w:right w:w="100" w:type="dxa"/>
            </w:tcMar>
          </w:tcPr>
          <w:p w14:paraId="3763A2F4" w14:textId="77777777" w:rsidR="004F7094" w:rsidRDefault="00850FA1">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Sunday</w:t>
            </w:r>
          </w:p>
        </w:tc>
        <w:tc>
          <w:tcPr>
            <w:tcW w:w="2565" w:type="dxa"/>
            <w:shd w:val="clear" w:color="auto" w:fill="auto"/>
            <w:tcMar>
              <w:top w:w="100" w:type="dxa"/>
              <w:left w:w="100" w:type="dxa"/>
              <w:bottom w:w="100" w:type="dxa"/>
              <w:right w:w="100" w:type="dxa"/>
            </w:tcMar>
          </w:tcPr>
          <w:p w14:paraId="046F357F" w14:textId="223302ED" w:rsidR="004F7094" w:rsidRDefault="00151703">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Will Be Announced</w:t>
            </w:r>
          </w:p>
        </w:tc>
      </w:tr>
    </w:tbl>
    <w:p w14:paraId="4E826651" w14:textId="77777777" w:rsidR="004F7094" w:rsidRDefault="004F7094">
      <w:pPr>
        <w:widowControl w:val="0"/>
        <w:spacing w:after="200" w:line="240" w:lineRule="auto"/>
        <w:rPr>
          <w:rFonts w:ascii="Times New Roman" w:eastAsia="Times New Roman" w:hAnsi="Times New Roman" w:cs="Times New Roman"/>
        </w:rPr>
      </w:pPr>
    </w:p>
    <w:p w14:paraId="7B9C0172" w14:textId="77777777" w:rsidR="004F7094" w:rsidRDefault="00850FA1">
      <w:pPr>
        <w:widowControl w:val="0"/>
        <w:spacing w:after="200" w:line="240" w:lineRule="auto"/>
        <w:jc w:val="center"/>
        <w:rPr>
          <w:rFonts w:ascii="Verdana" w:eastAsia="Verdana" w:hAnsi="Verdana" w:cs="Verdana"/>
          <w:b/>
          <w:sz w:val="26"/>
          <w:szCs w:val="26"/>
        </w:rPr>
      </w:pPr>
      <w:r>
        <w:rPr>
          <w:rFonts w:ascii="Verdana" w:eastAsia="Verdana" w:hAnsi="Verdana" w:cs="Verdana"/>
          <w:b/>
          <w:sz w:val="26"/>
          <w:szCs w:val="26"/>
        </w:rPr>
        <w:t xml:space="preserve">Your Role </w:t>
      </w:r>
    </w:p>
    <w:p w14:paraId="2AF07251"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Each round is observed by a Jury of View. That’s you! Jurors score the participants and vote for a winner in each round of oral arguments. </w:t>
      </w:r>
    </w:p>
    <w:p w14:paraId="655E69A9" w14:textId="77777777" w:rsidR="004F7094" w:rsidRDefault="00850FA1">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The Deputy Clerk &amp; Marshall in each courtroom will have your materials such as ballots and scoresheets. </w:t>
      </w:r>
      <w:proofErr w:type="gramStart"/>
      <w:r>
        <w:rPr>
          <w:rFonts w:ascii="Times New Roman" w:eastAsia="Times New Roman" w:hAnsi="Times New Roman" w:cs="Times New Roman"/>
        </w:rPr>
        <w:t>At the end</w:t>
      </w:r>
      <w:proofErr w:type="gramEnd"/>
      <w:r>
        <w:rPr>
          <w:rFonts w:ascii="Times New Roman" w:eastAsia="Times New Roman" w:hAnsi="Times New Roman" w:cs="Times New Roman"/>
        </w:rPr>
        <w:t xml:space="preserve">, please return your materials to the Deputy C&amp;M. For each round, please mark a ballot designating which team won the round. This is primarily an either/or designation and is the primary factor in determining which teams advance in the competition. </w:t>
      </w:r>
    </w:p>
    <w:p w14:paraId="7208693C" w14:textId="77777777" w:rsidR="004F7094" w:rsidRDefault="004F7094">
      <w:pPr>
        <w:widowControl w:val="0"/>
        <w:spacing w:after="200" w:line="240" w:lineRule="auto"/>
        <w:rPr>
          <w:rFonts w:ascii="Times New Roman" w:eastAsia="Times New Roman" w:hAnsi="Times New Roman" w:cs="Times New Roman"/>
        </w:rPr>
      </w:pPr>
    </w:p>
    <w:p w14:paraId="47BA11C4" w14:textId="77777777" w:rsidR="004F7094" w:rsidRDefault="004F7094">
      <w:pPr>
        <w:widowControl w:val="0"/>
        <w:spacing w:after="200" w:line="240" w:lineRule="auto"/>
        <w:rPr>
          <w:rFonts w:ascii="Times New Roman" w:eastAsia="Times New Roman" w:hAnsi="Times New Roman" w:cs="Times New Roman"/>
        </w:rPr>
      </w:pPr>
    </w:p>
    <w:p w14:paraId="4848667E" w14:textId="77777777" w:rsidR="004F7094" w:rsidRDefault="004F7094">
      <w:pPr>
        <w:widowControl w:val="0"/>
        <w:spacing w:after="200" w:line="240" w:lineRule="auto"/>
        <w:rPr>
          <w:rFonts w:ascii="Times New Roman" w:eastAsia="Times New Roman" w:hAnsi="Times New Roman" w:cs="Times New Roman"/>
        </w:rPr>
      </w:pPr>
    </w:p>
    <w:p w14:paraId="1C90C4E5" w14:textId="77777777" w:rsidR="004F7094" w:rsidRDefault="004F7094">
      <w:pPr>
        <w:widowControl w:val="0"/>
        <w:spacing w:after="200" w:line="240" w:lineRule="auto"/>
        <w:rPr>
          <w:rFonts w:ascii="Times New Roman" w:eastAsia="Times New Roman" w:hAnsi="Times New Roman" w:cs="Times New Roman"/>
        </w:rPr>
      </w:pPr>
    </w:p>
    <w:p w14:paraId="78DE45DA" w14:textId="77777777" w:rsidR="004F7094" w:rsidRDefault="00850FA1">
      <w:pPr>
        <w:widowControl w:val="0"/>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C393AB9" w14:textId="77777777" w:rsidR="004F7094" w:rsidRDefault="004F7094">
      <w:pPr>
        <w:widowControl w:val="0"/>
        <w:spacing w:after="200" w:line="240" w:lineRule="auto"/>
        <w:rPr>
          <w:rFonts w:ascii="Times New Roman" w:eastAsia="Times New Roman" w:hAnsi="Times New Roman" w:cs="Times New Roman"/>
        </w:rPr>
      </w:pPr>
    </w:p>
    <w:sectPr w:rsidR="004F7094">
      <w:type w:val="continuous"/>
      <w:pgSz w:w="12240" w:h="15840"/>
      <w:pgMar w:top="1440" w:right="1440" w:bottom="1440" w:left="1080" w:header="720" w:footer="720" w:gutter="0"/>
      <w:cols w:num="2" w:space="720" w:equalWidth="0">
        <w:col w:w="4500" w:space="720"/>
        <w:col w:w="450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D74D6" w14:textId="77777777" w:rsidR="007C06AB" w:rsidRDefault="007C06AB">
      <w:pPr>
        <w:spacing w:line="240" w:lineRule="auto"/>
      </w:pPr>
      <w:r>
        <w:separator/>
      </w:r>
    </w:p>
  </w:endnote>
  <w:endnote w:type="continuationSeparator" w:id="0">
    <w:p w14:paraId="787BE893" w14:textId="77777777" w:rsidR="007C06AB" w:rsidRDefault="007C06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BCFAE" w14:textId="77777777" w:rsidR="004F7094" w:rsidRDefault="00850FA1">
    <w:pPr>
      <w:widowControl w:val="0"/>
      <w:spacing w:before="4"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AMC3 Handbook </w:t>
    </w:r>
    <w:r>
      <w:rPr>
        <w:rFonts w:ascii="Times New Roman" w:eastAsia="Times New Roman" w:hAnsi="Times New Roman" w:cs="Times New Roman"/>
        <w:sz w:val="16"/>
        <w:szCs w:val="16"/>
      </w:rPr>
      <w:t>©</w:t>
    </w:r>
    <w:r>
      <w:rPr>
        <w:rFonts w:ascii="Times New Roman" w:eastAsia="Times New Roman" w:hAnsi="Times New Roman" w:cs="Times New Roman"/>
        <w:sz w:val="18"/>
        <w:szCs w:val="18"/>
      </w:rPr>
      <w:t xml:space="preserve">2014 </w:t>
    </w:r>
    <w:r>
      <w:rPr>
        <w:rFonts w:ascii="Times New Roman" w:eastAsia="Times New Roman" w:hAnsi="Times New Roman" w:cs="Times New Roman"/>
        <w:i/>
        <w:sz w:val="18"/>
        <w:szCs w:val="18"/>
      </w:rPr>
      <w:t>et seq.</w:t>
    </w:r>
    <w:r>
      <w:rPr>
        <w:rFonts w:ascii="Times New Roman" w:eastAsia="Times New Roman" w:hAnsi="Times New Roman" w:cs="Times New Roman"/>
        <w:sz w:val="18"/>
        <w:szCs w:val="18"/>
      </w:rPr>
      <w:t xml:space="preserve">, Tennessee Intercollegiate State Legislature Foundation. All Rights Reserved. The TISL Foundation is a non-partisan 501(c)(3) educational corporation chartered by the State of Tennessee. </w:t>
    </w:r>
  </w:p>
  <w:p w14:paraId="05FB217A" w14:textId="77777777" w:rsidR="004F7094" w:rsidRDefault="00850FA1">
    <w:pPr>
      <w:ind w:left="5040" w:firstLine="720"/>
      <w:rPr>
        <w:rFonts w:ascii="Verdana" w:eastAsia="Verdana" w:hAnsi="Verdana" w:cs="Verdana"/>
      </w:rPr>
    </w:pPr>
    <w:r>
      <w:tab/>
    </w:r>
    <w:r>
      <w:tab/>
    </w:r>
    <w:r>
      <w:tab/>
    </w:r>
    <w:r>
      <w:tab/>
      <w:t xml:space="preserve">   </w:t>
    </w:r>
    <w:r>
      <w:rPr>
        <w:rFonts w:ascii="Times New Roman" w:eastAsia="Times New Roman" w:hAnsi="Times New Roman" w:cs="Times New Roman"/>
      </w:rPr>
      <w:t xml:space="preserve">   </w:t>
    </w:r>
    <w:r>
      <w:rPr>
        <w:rFonts w:ascii="Verdana" w:eastAsia="Verdana" w:hAnsi="Verdana" w:cs="Verdana"/>
      </w:rPr>
      <w:t xml:space="preserve">   </w:t>
    </w:r>
    <w:r>
      <w:rPr>
        <w:rFonts w:ascii="Verdana" w:eastAsia="Verdana" w:hAnsi="Verdana" w:cs="Verdana"/>
      </w:rPr>
      <w:fldChar w:fldCharType="begin"/>
    </w:r>
    <w:r>
      <w:rPr>
        <w:rFonts w:ascii="Verdana" w:eastAsia="Verdana" w:hAnsi="Verdana" w:cs="Verdana"/>
      </w:rPr>
      <w:instrText>PAGE</w:instrText>
    </w:r>
    <w:r>
      <w:rPr>
        <w:rFonts w:ascii="Verdana" w:eastAsia="Verdana" w:hAnsi="Verdana" w:cs="Verdana"/>
      </w:rPr>
      <w:fldChar w:fldCharType="separate"/>
    </w:r>
    <w:r w:rsidR="00900C7F">
      <w:rPr>
        <w:rFonts w:ascii="Verdana" w:eastAsia="Verdana" w:hAnsi="Verdana" w:cs="Verdana"/>
        <w:noProof/>
      </w:rPr>
      <w:t>1</w:t>
    </w:r>
    <w:r>
      <w:rPr>
        <w:rFonts w:ascii="Verdana" w:eastAsia="Verdana" w:hAnsi="Verdana" w:cs="Verdana"/>
      </w:rPr>
      <w:fldChar w:fldCharType="end"/>
    </w:r>
    <w:r>
      <w:rPr>
        <w:noProof/>
      </w:rPr>
      <w:drawing>
        <wp:anchor distT="19050" distB="19050" distL="19050" distR="19050" simplePos="0" relativeHeight="251658240" behindDoc="0" locked="0" layoutInCell="1" hidden="0" allowOverlap="1" wp14:anchorId="4A4EB052" wp14:editId="47CF2443">
          <wp:simplePos x="0" y="0"/>
          <wp:positionH relativeFrom="column">
            <wp:posOffset>1200150</wp:posOffset>
          </wp:positionH>
          <wp:positionV relativeFrom="paragraph">
            <wp:posOffset>85725</wp:posOffset>
          </wp:positionV>
          <wp:extent cx="3648075" cy="114300"/>
          <wp:effectExtent l="0" t="0" r="0" b="0"/>
          <wp:wrapNone/>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3648075" cy="114300"/>
                  </a:xfrm>
                  <a:prstGeom prst="rect">
                    <a:avLst/>
                  </a:prstGeom>
                  <a:ln/>
                </pic:spPr>
              </pic:pic>
            </a:graphicData>
          </a:graphic>
        </wp:anchor>
      </w:drawing>
    </w:r>
  </w:p>
  <w:p w14:paraId="0E4001F1" w14:textId="77777777" w:rsidR="004F7094" w:rsidRDefault="004F7094">
    <w:pPr>
      <w:ind w:left="5040" w:firstLine="720"/>
      <w:rPr>
        <w:rFonts w:ascii="Times New Roman" w:eastAsia="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5E4A9" w14:textId="77777777" w:rsidR="007C06AB" w:rsidRDefault="007C06AB">
      <w:pPr>
        <w:spacing w:line="240" w:lineRule="auto"/>
      </w:pPr>
      <w:r>
        <w:separator/>
      </w:r>
    </w:p>
  </w:footnote>
  <w:footnote w:type="continuationSeparator" w:id="0">
    <w:p w14:paraId="3E7A1A0D" w14:textId="77777777" w:rsidR="007C06AB" w:rsidRDefault="007C06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AA1BA" w14:textId="77777777" w:rsidR="004F7094" w:rsidRDefault="004F70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8353A"/>
    <w:multiLevelType w:val="multilevel"/>
    <w:tmpl w:val="591849E6"/>
    <w:lvl w:ilvl="0">
      <w:start w:val="1"/>
      <w:numFmt w:val="bullet"/>
      <w:lvlText w:val="-"/>
      <w:lvlJc w:val="left"/>
      <w:pPr>
        <w:ind w:left="5040" w:hanging="360"/>
      </w:pPr>
      <w:rPr>
        <w:u w:val="none"/>
      </w:rPr>
    </w:lvl>
    <w:lvl w:ilvl="1">
      <w:start w:val="1"/>
      <w:numFmt w:val="bullet"/>
      <w:lvlText w:val="-"/>
      <w:lvlJc w:val="left"/>
      <w:pPr>
        <w:ind w:left="5760" w:hanging="360"/>
      </w:pPr>
      <w:rPr>
        <w:u w:val="none"/>
      </w:rPr>
    </w:lvl>
    <w:lvl w:ilvl="2">
      <w:start w:val="1"/>
      <w:numFmt w:val="bullet"/>
      <w:lvlText w:val="-"/>
      <w:lvlJc w:val="left"/>
      <w:pPr>
        <w:ind w:left="6480" w:hanging="360"/>
      </w:pPr>
      <w:rPr>
        <w:u w:val="none"/>
      </w:rPr>
    </w:lvl>
    <w:lvl w:ilvl="3">
      <w:start w:val="1"/>
      <w:numFmt w:val="bullet"/>
      <w:lvlText w:val="-"/>
      <w:lvlJc w:val="left"/>
      <w:pPr>
        <w:ind w:left="7200" w:hanging="360"/>
      </w:pPr>
      <w:rPr>
        <w:u w:val="none"/>
      </w:rPr>
    </w:lvl>
    <w:lvl w:ilvl="4">
      <w:start w:val="1"/>
      <w:numFmt w:val="bullet"/>
      <w:lvlText w:val="-"/>
      <w:lvlJc w:val="left"/>
      <w:pPr>
        <w:ind w:left="7920" w:hanging="360"/>
      </w:pPr>
      <w:rPr>
        <w:u w:val="none"/>
      </w:rPr>
    </w:lvl>
    <w:lvl w:ilvl="5">
      <w:start w:val="1"/>
      <w:numFmt w:val="bullet"/>
      <w:lvlText w:val="-"/>
      <w:lvlJc w:val="left"/>
      <w:pPr>
        <w:ind w:left="8640" w:hanging="360"/>
      </w:pPr>
      <w:rPr>
        <w:u w:val="none"/>
      </w:rPr>
    </w:lvl>
    <w:lvl w:ilvl="6">
      <w:start w:val="1"/>
      <w:numFmt w:val="bullet"/>
      <w:lvlText w:val="-"/>
      <w:lvlJc w:val="left"/>
      <w:pPr>
        <w:ind w:left="9360" w:hanging="360"/>
      </w:pPr>
      <w:rPr>
        <w:u w:val="none"/>
      </w:rPr>
    </w:lvl>
    <w:lvl w:ilvl="7">
      <w:start w:val="1"/>
      <w:numFmt w:val="bullet"/>
      <w:lvlText w:val="-"/>
      <w:lvlJc w:val="left"/>
      <w:pPr>
        <w:ind w:left="10080" w:hanging="360"/>
      </w:pPr>
      <w:rPr>
        <w:u w:val="none"/>
      </w:rPr>
    </w:lvl>
    <w:lvl w:ilvl="8">
      <w:start w:val="1"/>
      <w:numFmt w:val="bullet"/>
      <w:lvlText w:val="-"/>
      <w:lvlJc w:val="left"/>
      <w:pPr>
        <w:ind w:left="10800" w:hanging="360"/>
      </w:pPr>
      <w:rPr>
        <w:u w:val="none"/>
      </w:rPr>
    </w:lvl>
  </w:abstractNum>
  <w:abstractNum w:abstractNumId="1" w15:restartNumberingAfterBreak="0">
    <w:nsid w:val="4B5A7D80"/>
    <w:multiLevelType w:val="multilevel"/>
    <w:tmpl w:val="EC586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622DDE"/>
    <w:multiLevelType w:val="multilevel"/>
    <w:tmpl w:val="8E0E5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92C0823"/>
    <w:multiLevelType w:val="multilevel"/>
    <w:tmpl w:val="CA0A5A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D37B45"/>
    <w:multiLevelType w:val="multilevel"/>
    <w:tmpl w:val="BED20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74441325">
    <w:abstractNumId w:val="4"/>
  </w:num>
  <w:num w:numId="2" w16cid:durableId="971324954">
    <w:abstractNumId w:val="2"/>
  </w:num>
  <w:num w:numId="3" w16cid:durableId="1685596984">
    <w:abstractNumId w:val="3"/>
  </w:num>
  <w:num w:numId="4" w16cid:durableId="2111584837">
    <w:abstractNumId w:val="1"/>
  </w:num>
  <w:num w:numId="5" w16cid:durableId="496651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094"/>
    <w:rsid w:val="000A0C29"/>
    <w:rsid w:val="00151703"/>
    <w:rsid w:val="00186C16"/>
    <w:rsid w:val="003A0175"/>
    <w:rsid w:val="0044181A"/>
    <w:rsid w:val="00454BA1"/>
    <w:rsid w:val="004B76C0"/>
    <w:rsid w:val="004F7094"/>
    <w:rsid w:val="0051036A"/>
    <w:rsid w:val="007C06AB"/>
    <w:rsid w:val="00850FA1"/>
    <w:rsid w:val="00900C7F"/>
    <w:rsid w:val="00B2160C"/>
    <w:rsid w:val="00B45E9A"/>
    <w:rsid w:val="00CD22C7"/>
    <w:rsid w:val="00DE5CB7"/>
    <w:rsid w:val="00EA4A42"/>
    <w:rsid w:val="00ED2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7A704"/>
  <w15:docId w15:val="{5240893F-D476-436D-99C8-8D550F9CF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115904">
      <w:bodyDiv w:val="1"/>
      <w:marLeft w:val="0"/>
      <w:marRight w:val="0"/>
      <w:marTop w:val="0"/>
      <w:marBottom w:val="0"/>
      <w:divBdr>
        <w:top w:val="none" w:sz="0" w:space="0" w:color="auto"/>
        <w:left w:val="none" w:sz="0" w:space="0" w:color="auto"/>
        <w:bottom w:val="none" w:sz="0" w:space="0" w:color="auto"/>
        <w:right w:val="none" w:sz="0" w:space="0" w:color="auto"/>
      </w:divBdr>
    </w:div>
    <w:div w:id="598223031">
      <w:bodyDiv w:val="1"/>
      <w:marLeft w:val="0"/>
      <w:marRight w:val="0"/>
      <w:marTop w:val="0"/>
      <w:marBottom w:val="0"/>
      <w:divBdr>
        <w:top w:val="none" w:sz="0" w:space="0" w:color="auto"/>
        <w:left w:val="none" w:sz="0" w:space="0" w:color="auto"/>
        <w:bottom w:val="none" w:sz="0" w:space="0" w:color="auto"/>
        <w:right w:val="none" w:sz="0" w:space="0" w:color="auto"/>
      </w:divBdr>
    </w:div>
    <w:div w:id="1158500040">
      <w:bodyDiv w:val="1"/>
      <w:marLeft w:val="0"/>
      <w:marRight w:val="0"/>
      <w:marTop w:val="0"/>
      <w:marBottom w:val="0"/>
      <w:divBdr>
        <w:top w:val="none" w:sz="0" w:space="0" w:color="auto"/>
        <w:left w:val="none" w:sz="0" w:space="0" w:color="auto"/>
        <w:bottom w:val="none" w:sz="0" w:space="0" w:color="auto"/>
        <w:right w:val="none" w:sz="0" w:space="0" w:color="auto"/>
      </w:divBdr>
    </w:div>
    <w:div w:id="1211459969">
      <w:bodyDiv w:val="1"/>
      <w:marLeft w:val="0"/>
      <w:marRight w:val="0"/>
      <w:marTop w:val="0"/>
      <w:marBottom w:val="0"/>
      <w:divBdr>
        <w:top w:val="none" w:sz="0" w:space="0" w:color="auto"/>
        <w:left w:val="none" w:sz="0" w:space="0" w:color="auto"/>
        <w:bottom w:val="none" w:sz="0" w:space="0" w:color="auto"/>
        <w:right w:val="none" w:sz="0" w:space="0" w:color="auto"/>
      </w:divBdr>
    </w:div>
    <w:div w:id="1495026641">
      <w:bodyDiv w:val="1"/>
      <w:marLeft w:val="0"/>
      <w:marRight w:val="0"/>
      <w:marTop w:val="0"/>
      <w:marBottom w:val="0"/>
      <w:divBdr>
        <w:top w:val="none" w:sz="0" w:space="0" w:color="auto"/>
        <w:left w:val="none" w:sz="0" w:space="0" w:color="auto"/>
        <w:bottom w:val="none" w:sz="0" w:space="0" w:color="auto"/>
        <w:right w:val="none" w:sz="0" w:space="0" w:color="auto"/>
      </w:divBdr>
    </w:div>
    <w:div w:id="1496917846">
      <w:bodyDiv w:val="1"/>
      <w:marLeft w:val="0"/>
      <w:marRight w:val="0"/>
      <w:marTop w:val="0"/>
      <w:marBottom w:val="0"/>
      <w:divBdr>
        <w:top w:val="none" w:sz="0" w:space="0" w:color="auto"/>
        <w:left w:val="none" w:sz="0" w:space="0" w:color="auto"/>
        <w:bottom w:val="none" w:sz="0" w:space="0" w:color="auto"/>
        <w:right w:val="none" w:sz="0" w:space="0" w:color="auto"/>
      </w:divBdr>
    </w:div>
    <w:div w:id="1656376576">
      <w:bodyDiv w:val="1"/>
      <w:marLeft w:val="0"/>
      <w:marRight w:val="0"/>
      <w:marTop w:val="0"/>
      <w:marBottom w:val="0"/>
      <w:divBdr>
        <w:top w:val="none" w:sz="0" w:space="0" w:color="auto"/>
        <w:left w:val="none" w:sz="0" w:space="0" w:color="auto"/>
        <w:bottom w:val="none" w:sz="0" w:space="0" w:color="auto"/>
        <w:right w:val="none" w:sz="0" w:space="0" w:color="auto"/>
      </w:divBdr>
    </w:div>
    <w:div w:id="1858235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16</Pages>
  <Words>7285</Words>
  <Characters>37839</Characters>
  <Application>Microsoft Office Word</Application>
  <DocSecurity>0</DocSecurity>
  <Lines>1066</Lines>
  <Paragraphs>271</Paragraphs>
  <ScaleCrop>false</ScaleCrop>
  <Company/>
  <LinksUpToDate>false</LinksUpToDate>
  <CharactersWithSpaces>45109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Jackson Clemons</cp:lastModifiedBy>
  <cp:revision>15</cp:revision>
  <dcterms:created xsi:type="dcterms:W3CDTF">2024-02-23T15:33:00Z</dcterms:created>
  <dcterms:modified xsi:type="dcterms:W3CDTF">2024-08-06T20:56:00Z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91154764e0aca3a2e345412de64e356a917a84d832d52a7b84d5553b50b7ea0a</vt:lpwstr>
  </property>
</Properties>
</file>