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ora" w:cs="Lora" w:eastAsia="Lora" w:hAnsi="Lora"/>
          <w:b w:val="1"/>
          <w:sz w:val="32"/>
          <w:szCs w:val="32"/>
          <w:u w:val="single"/>
        </w:rPr>
      </w:pPr>
      <w:r w:rsidDel="00000000" w:rsidR="00000000" w:rsidRPr="00000000">
        <w:rPr>
          <w:rFonts w:ascii="Lora" w:cs="Lora" w:eastAsia="Lora" w:hAnsi="Lora"/>
          <w:b w:val="1"/>
          <w:sz w:val="32"/>
          <w:szCs w:val="32"/>
          <w:u w:val="single"/>
          <w:rtl w:val="0"/>
        </w:rPr>
        <w:t xml:space="preserve">Clerk and Marshall Application</w:t>
      </w:r>
    </w:p>
    <w:p w:rsidR="00000000" w:rsidDel="00000000" w:rsidP="00000000" w:rsidRDefault="00000000" w:rsidRPr="00000000" w14:paraId="00000002">
      <w:pPr>
        <w:spacing w:line="240" w:lineRule="auto"/>
        <w:jc w:val="both"/>
        <w:rPr>
          <w:rFonts w:ascii="Lora" w:cs="Lora" w:eastAsia="Lora" w:hAnsi="Lora"/>
        </w:rPr>
      </w:pPr>
      <w:r w:rsidDel="00000000" w:rsidR="00000000" w:rsidRPr="00000000">
        <w:rPr>
          <w:rFonts w:ascii="Lora" w:cs="Lora" w:eastAsia="Lora" w:hAnsi="Lora"/>
          <w:rtl w:val="0"/>
        </w:rPr>
        <w:t xml:space="preserve">The Clerk and Marshall is appointed by the Supreme Court. The Clerk and Marshall will have the majority of their duties during the General Assembly, of which will the of the following, but limited to: creating the AMC3 schedule for each day and round, keeping track of and organizing ballots from each round and each justice, training the pages for the General Assembly, and communicating with AMC3 during the General Assembly. </w:t>
      </w:r>
    </w:p>
    <w:p w:rsidR="00000000" w:rsidDel="00000000" w:rsidP="00000000" w:rsidRDefault="00000000" w:rsidRPr="00000000" w14:paraId="00000003">
      <w:pPr>
        <w:spacing w:line="240" w:lineRule="auto"/>
        <w:jc w:val="both"/>
        <w:rPr>
          <w:rFonts w:ascii="Lora" w:cs="Lora" w:eastAsia="Lora" w:hAnsi="Lora"/>
        </w:rPr>
      </w:pPr>
      <w:r w:rsidDel="00000000" w:rsidR="00000000" w:rsidRPr="00000000">
        <w:rPr>
          <w:rtl w:val="0"/>
        </w:rPr>
      </w:r>
    </w:p>
    <w:p w:rsidR="00000000" w:rsidDel="00000000" w:rsidP="00000000" w:rsidRDefault="00000000" w:rsidRPr="00000000" w14:paraId="00000004">
      <w:pPr>
        <w:spacing w:line="240" w:lineRule="auto"/>
        <w:jc w:val="both"/>
        <w:rPr>
          <w:rFonts w:ascii="Lora" w:cs="Lora" w:eastAsia="Lora" w:hAnsi="Lora"/>
        </w:rPr>
      </w:pPr>
      <w:r w:rsidDel="00000000" w:rsidR="00000000" w:rsidRPr="00000000">
        <w:rPr>
          <w:rFonts w:ascii="Lora" w:cs="Lora" w:eastAsia="Lora" w:hAnsi="Lora"/>
          <w:rtl w:val="0"/>
        </w:rPr>
        <w:t xml:space="preserve">Clerk and Marshall applicants must be enrolled at a Tennessee college or university and not in a College of Law. Otherwise, graduate students may also apply.</w:t>
      </w:r>
    </w:p>
    <w:p w:rsidR="00000000" w:rsidDel="00000000" w:rsidP="00000000" w:rsidRDefault="00000000" w:rsidRPr="00000000" w14:paraId="00000005">
      <w:pPr>
        <w:spacing w:before="240" w:lineRule="auto"/>
        <w:rPr>
          <w:rFonts w:ascii="Lora" w:cs="Lora" w:eastAsia="Lora" w:hAnsi="Lora"/>
          <w:b w:val="1"/>
        </w:rPr>
      </w:pPr>
      <w:r w:rsidDel="00000000" w:rsidR="00000000" w:rsidRPr="00000000">
        <w:rPr>
          <w:rFonts w:ascii="Lora" w:cs="Lora" w:eastAsia="Lora" w:hAnsi="Lora"/>
          <w:b w:val="1"/>
          <w:rtl w:val="0"/>
        </w:rPr>
        <w:t xml:space="preserve">1. Biographical Information</w:t>
      </w:r>
    </w:p>
    <w:p w:rsidR="00000000" w:rsidDel="00000000" w:rsidP="00000000" w:rsidRDefault="00000000" w:rsidRPr="00000000" w14:paraId="00000006">
      <w:pPr>
        <w:jc w:val="both"/>
        <w:rPr>
          <w:rFonts w:ascii="Lora" w:cs="Lora" w:eastAsia="Lora" w:hAnsi="Lora"/>
        </w:rPr>
        <w:sectPr>
          <w:headerReference r:id="rId6" w:type="default"/>
          <w:pgSz w:h="15840" w:w="12240" w:orient="portrait"/>
          <w:pgMar w:bottom="1440" w:top="1440" w:left="1440" w:right="1440" w:header="720" w:footer="720"/>
          <w:pgNumType w:start="1"/>
        </w:sectPr>
      </w:pPr>
      <w:r w:rsidDel="00000000" w:rsidR="00000000" w:rsidRPr="00000000">
        <w:rPr>
          <w:rFonts w:ascii="Lora" w:cs="Lora" w:eastAsia="Lora" w:hAnsi="Lora"/>
          <w:rtl w:val="0"/>
        </w:rPr>
        <w:t xml:space="preserve">We frequently have trouble sending email to .edu addresses. Please provide an off-campus email address, too, if possible. </w:t>
      </w:r>
    </w:p>
    <w:p w:rsidR="00000000" w:rsidDel="00000000" w:rsidP="00000000" w:rsidRDefault="00000000" w:rsidRPr="00000000" w14:paraId="00000007">
      <w:pPr>
        <w:spacing w:after="240" w:lineRule="auto"/>
        <w:rPr>
          <w:rFonts w:ascii="Lora" w:cs="Lora" w:eastAsia="Lora" w:hAnsi="Lora"/>
          <w:b w:val="1"/>
        </w:rPr>
      </w:pPr>
      <w:r w:rsidDel="00000000" w:rsidR="00000000" w:rsidRPr="00000000">
        <w:rPr>
          <w:rFonts w:ascii="Lora" w:cs="Lora" w:eastAsia="Lora" w:hAnsi="Lora"/>
          <w:rtl w:val="0"/>
        </w:rPr>
        <w:t xml:space="preserve">Name: </w:t>
      </w:r>
      <w:r w:rsidDel="00000000" w:rsidR="00000000" w:rsidRPr="00000000">
        <w:rPr>
          <w:rtl w:val="0"/>
        </w:rPr>
      </w:r>
    </w:p>
    <w:p w:rsidR="00000000" w:rsidDel="00000000" w:rsidP="00000000" w:rsidRDefault="00000000" w:rsidRPr="00000000" w14:paraId="00000008">
      <w:pPr>
        <w:spacing w:after="240" w:before="240" w:lineRule="auto"/>
        <w:rPr>
          <w:rFonts w:ascii="Lora" w:cs="Lora" w:eastAsia="Lora" w:hAnsi="Lora"/>
        </w:rPr>
      </w:pPr>
      <w:r w:rsidDel="00000000" w:rsidR="00000000" w:rsidRPr="00000000">
        <w:rPr>
          <w:rtl w:val="0"/>
        </w:rPr>
      </w:r>
    </w:p>
    <w:p w:rsidR="00000000" w:rsidDel="00000000" w:rsidP="00000000" w:rsidRDefault="00000000" w:rsidRPr="00000000" w14:paraId="00000009">
      <w:pPr>
        <w:spacing w:after="240" w:before="240" w:lineRule="auto"/>
        <w:rPr>
          <w:rFonts w:ascii="Lora" w:cs="Lora" w:eastAsia="Lora" w:hAnsi="Lora"/>
        </w:rPr>
      </w:pPr>
      <w:r w:rsidDel="00000000" w:rsidR="00000000" w:rsidRPr="00000000">
        <w:rPr>
          <w:rFonts w:ascii="Lora" w:cs="Lora" w:eastAsia="Lora" w:hAnsi="Lora"/>
          <w:rtl w:val="0"/>
        </w:rPr>
        <w:t xml:space="preserve">Pronouns: </w:t>
      </w:r>
    </w:p>
    <w:p w:rsidR="00000000" w:rsidDel="00000000" w:rsidP="00000000" w:rsidRDefault="00000000" w:rsidRPr="00000000" w14:paraId="0000000A">
      <w:pPr>
        <w:spacing w:after="240" w:before="240" w:lineRule="auto"/>
        <w:rPr>
          <w:rFonts w:ascii="Lora" w:cs="Lora" w:eastAsia="Lora" w:hAnsi="Lora"/>
        </w:rPr>
      </w:pPr>
      <w:r w:rsidDel="00000000" w:rsidR="00000000" w:rsidRPr="00000000">
        <w:rPr>
          <w:rtl w:val="0"/>
        </w:rPr>
      </w:r>
    </w:p>
    <w:p w:rsidR="00000000" w:rsidDel="00000000" w:rsidP="00000000" w:rsidRDefault="00000000" w:rsidRPr="00000000" w14:paraId="0000000B">
      <w:pPr>
        <w:spacing w:after="240" w:before="240" w:lineRule="auto"/>
        <w:rPr>
          <w:rFonts w:ascii="Lora" w:cs="Lora" w:eastAsia="Lora" w:hAnsi="Lora"/>
          <w:b w:val="1"/>
        </w:rPr>
      </w:pPr>
      <w:r w:rsidDel="00000000" w:rsidR="00000000" w:rsidRPr="00000000">
        <w:rPr>
          <w:rFonts w:ascii="Lora" w:cs="Lora" w:eastAsia="Lora" w:hAnsi="Lora"/>
          <w:rtl w:val="0"/>
        </w:rPr>
        <w:t xml:space="preserve">College/University: </w:t>
      </w:r>
      <w:r w:rsidDel="00000000" w:rsidR="00000000" w:rsidRPr="00000000">
        <w:rPr>
          <w:rtl w:val="0"/>
        </w:rPr>
      </w:r>
    </w:p>
    <w:p w:rsidR="00000000" w:rsidDel="00000000" w:rsidP="00000000" w:rsidRDefault="00000000" w:rsidRPr="00000000" w14:paraId="0000000C">
      <w:pPr>
        <w:spacing w:after="240" w:before="240" w:lineRule="auto"/>
        <w:rPr>
          <w:rFonts w:ascii="Lora" w:cs="Lora" w:eastAsia="Lora" w:hAnsi="Lora"/>
        </w:rPr>
      </w:pPr>
      <w:r w:rsidDel="00000000" w:rsidR="00000000" w:rsidRPr="00000000">
        <w:rPr>
          <w:rtl w:val="0"/>
        </w:rPr>
      </w:r>
    </w:p>
    <w:p w:rsidR="00000000" w:rsidDel="00000000" w:rsidP="00000000" w:rsidRDefault="00000000" w:rsidRPr="00000000" w14:paraId="0000000D">
      <w:pPr>
        <w:spacing w:after="240" w:before="240" w:lineRule="auto"/>
        <w:rPr>
          <w:rFonts w:ascii="Lora" w:cs="Lora" w:eastAsia="Lora" w:hAnsi="Lora"/>
        </w:rPr>
      </w:pPr>
      <w:r w:rsidDel="00000000" w:rsidR="00000000" w:rsidRPr="00000000">
        <w:rPr>
          <w:rFonts w:ascii="Lora" w:cs="Lora" w:eastAsia="Lora" w:hAnsi="Lora"/>
          <w:rtl w:val="0"/>
        </w:rPr>
        <w:t xml:space="preserve">Expected Graduation Date: </w:t>
      </w:r>
    </w:p>
    <w:p w:rsidR="00000000" w:rsidDel="00000000" w:rsidP="00000000" w:rsidRDefault="00000000" w:rsidRPr="00000000" w14:paraId="0000000E">
      <w:pPr>
        <w:spacing w:after="240" w:before="240" w:lineRule="auto"/>
        <w:rPr>
          <w:rFonts w:ascii="Lora" w:cs="Lora" w:eastAsia="Lora" w:hAnsi="Lora"/>
        </w:rPr>
      </w:pPr>
      <w:r w:rsidDel="00000000" w:rsidR="00000000" w:rsidRPr="00000000">
        <w:rPr>
          <w:rFonts w:ascii="Lora" w:cs="Lora" w:eastAsia="Lora" w:hAnsi="Lora"/>
          <w:rtl w:val="0"/>
        </w:rPr>
        <w:t xml:space="preserve">Major(s) and/or Minor(s): </w:t>
      </w:r>
    </w:p>
    <w:p w:rsidR="00000000" w:rsidDel="00000000" w:rsidP="00000000" w:rsidRDefault="00000000" w:rsidRPr="00000000" w14:paraId="0000000F">
      <w:pPr>
        <w:spacing w:after="240" w:before="240" w:lineRule="auto"/>
        <w:rPr>
          <w:rFonts w:ascii="Lora" w:cs="Lora" w:eastAsia="Lora" w:hAnsi="Lora"/>
        </w:rPr>
      </w:pPr>
      <w:r w:rsidDel="00000000" w:rsidR="00000000" w:rsidRPr="00000000">
        <w:rPr>
          <w:rtl w:val="0"/>
        </w:rPr>
      </w:r>
    </w:p>
    <w:p w:rsidR="00000000" w:rsidDel="00000000" w:rsidP="00000000" w:rsidRDefault="00000000" w:rsidRPr="00000000" w14:paraId="00000010">
      <w:pPr>
        <w:spacing w:after="240" w:before="240" w:lineRule="auto"/>
        <w:rPr>
          <w:rFonts w:ascii="Lora" w:cs="Lora" w:eastAsia="Lora" w:hAnsi="Lora"/>
        </w:rPr>
      </w:pPr>
      <w:r w:rsidDel="00000000" w:rsidR="00000000" w:rsidRPr="00000000">
        <w:rPr>
          <w:rFonts w:ascii="Lora" w:cs="Lora" w:eastAsia="Lora" w:hAnsi="Lora"/>
          <w:rtl w:val="0"/>
        </w:rPr>
        <w:t xml:space="preserve">Primary Email: </w:t>
      </w:r>
    </w:p>
    <w:p w:rsidR="00000000" w:rsidDel="00000000" w:rsidP="00000000" w:rsidRDefault="00000000" w:rsidRPr="00000000" w14:paraId="00000011">
      <w:pPr>
        <w:spacing w:after="240" w:before="240" w:lineRule="auto"/>
        <w:rPr>
          <w:rFonts w:ascii="Lora" w:cs="Lora" w:eastAsia="Lora" w:hAnsi="Lora"/>
        </w:rPr>
      </w:pPr>
      <w:r w:rsidDel="00000000" w:rsidR="00000000" w:rsidRPr="00000000">
        <w:rPr>
          <w:rtl w:val="0"/>
        </w:rPr>
      </w:r>
    </w:p>
    <w:p w:rsidR="00000000" w:rsidDel="00000000" w:rsidP="00000000" w:rsidRDefault="00000000" w:rsidRPr="00000000" w14:paraId="00000012">
      <w:pPr>
        <w:spacing w:after="240" w:before="240" w:lineRule="auto"/>
        <w:rPr>
          <w:rFonts w:ascii="Lora" w:cs="Lora" w:eastAsia="Lora" w:hAnsi="Lora"/>
        </w:rPr>
      </w:pPr>
      <w:r w:rsidDel="00000000" w:rsidR="00000000" w:rsidRPr="00000000">
        <w:rPr>
          <w:rFonts w:ascii="Lora" w:cs="Lora" w:eastAsia="Lora" w:hAnsi="Lora"/>
          <w:rtl w:val="0"/>
        </w:rPr>
        <w:t xml:space="preserve">Secondary Email: </w:t>
      </w:r>
    </w:p>
    <w:p w:rsidR="00000000" w:rsidDel="00000000" w:rsidP="00000000" w:rsidRDefault="00000000" w:rsidRPr="00000000" w14:paraId="00000013">
      <w:pPr>
        <w:spacing w:after="240" w:before="240" w:lineRule="auto"/>
        <w:rPr>
          <w:rFonts w:ascii="Lora" w:cs="Lora" w:eastAsia="Lora" w:hAnsi="Lora"/>
        </w:rPr>
      </w:pPr>
      <w:r w:rsidDel="00000000" w:rsidR="00000000" w:rsidRPr="00000000">
        <w:rPr>
          <w:rtl w:val="0"/>
        </w:rPr>
      </w:r>
    </w:p>
    <w:p w:rsidR="00000000" w:rsidDel="00000000" w:rsidP="00000000" w:rsidRDefault="00000000" w:rsidRPr="00000000" w14:paraId="00000014">
      <w:pPr>
        <w:spacing w:before="240" w:lineRule="auto"/>
        <w:rPr>
          <w:rFonts w:ascii="Lora" w:cs="Lora" w:eastAsia="Lora" w:hAnsi="Lora"/>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Lora" w:cs="Lora" w:eastAsia="Lora" w:hAnsi="Lora"/>
          <w:rtl w:val="0"/>
        </w:rPr>
        <w:t xml:space="preserve">Cell Phone:</w:t>
      </w:r>
    </w:p>
    <w:p w:rsidR="00000000" w:rsidDel="00000000" w:rsidP="00000000" w:rsidRDefault="00000000" w:rsidRPr="00000000" w14:paraId="00000015">
      <w:pPr>
        <w:rPr>
          <w:rFonts w:ascii="Lora" w:cs="Lora" w:eastAsia="Lora" w:hAnsi="Lora"/>
          <w:b w:val="1"/>
        </w:rPr>
      </w:pPr>
      <w:r w:rsidDel="00000000" w:rsidR="00000000" w:rsidRPr="00000000">
        <w:rPr>
          <w:rtl w:val="0"/>
        </w:rPr>
      </w:r>
    </w:p>
    <w:p w:rsidR="00000000" w:rsidDel="00000000" w:rsidP="00000000" w:rsidRDefault="00000000" w:rsidRPr="00000000" w14:paraId="00000016">
      <w:pPr>
        <w:rPr>
          <w:rFonts w:ascii="Lora" w:cs="Lora" w:eastAsia="Lora" w:hAnsi="Lora"/>
          <w:b w:val="1"/>
        </w:rPr>
      </w:pPr>
      <w:r w:rsidDel="00000000" w:rsidR="00000000" w:rsidRPr="00000000">
        <w:rPr>
          <w:rFonts w:ascii="Lora" w:cs="Lora" w:eastAsia="Lora" w:hAnsi="Lora"/>
          <w:b w:val="1"/>
          <w:rtl w:val="0"/>
        </w:rPr>
        <w:t xml:space="preserve">2. Relevant Experience</w:t>
      </w:r>
    </w:p>
    <w:p w:rsidR="00000000" w:rsidDel="00000000" w:rsidP="00000000" w:rsidRDefault="00000000" w:rsidRPr="00000000" w14:paraId="00000017">
      <w:pPr>
        <w:rPr>
          <w:rFonts w:ascii="Lora" w:cs="Lora" w:eastAsia="Lora" w:hAnsi="Lora"/>
          <w:b w:val="1"/>
        </w:rPr>
      </w:pPr>
      <w:r w:rsidDel="00000000" w:rsidR="00000000" w:rsidRPr="00000000">
        <w:rPr>
          <w:rtl w:val="0"/>
        </w:rPr>
      </w:r>
    </w:p>
    <w:p w:rsidR="00000000" w:rsidDel="00000000" w:rsidP="00000000" w:rsidRDefault="00000000" w:rsidRPr="00000000" w14:paraId="00000018">
      <w:pPr>
        <w:rPr>
          <w:rFonts w:ascii="Lora" w:cs="Lora" w:eastAsia="Lora" w:hAnsi="Lora"/>
        </w:rPr>
      </w:pPr>
      <w:r w:rsidDel="00000000" w:rsidR="00000000" w:rsidRPr="00000000">
        <w:rPr>
          <w:rFonts w:ascii="Lora" w:cs="Lora" w:eastAsia="Lora" w:hAnsi="Lora"/>
          <w:rtl w:val="0"/>
        </w:rPr>
        <w:t xml:space="preserve">Have you previously attended TISL? If yes, what part of TISL did you partake in?</w:t>
      </w:r>
    </w:p>
    <w:p w:rsidR="00000000" w:rsidDel="00000000" w:rsidP="00000000" w:rsidRDefault="00000000" w:rsidRPr="00000000" w14:paraId="00000019">
      <w:pPr>
        <w:spacing w:after="240" w:before="240" w:lineRule="auto"/>
        <w:rPr>
          <w:rFonts w:ascii="Lora" w:cs="Lora" w:eastAsia="Lora" w:hAnsi="Lora"/>
        </w:rPr>
      </w:pPr>
      <w:r w:rsidDel="00000000" w:rsidR="00000000" w:rsidRPr="00000000">
        <w:rPr>
          <w:rFonts w:ascii="Lora" w:cs="Lora" w:eastAsia="Lora" w:hAnsi="Lora"/>
          <w:rtl w:val="0"/>
        </w:rPr>
        <w:t xml:space="preserve">Do you have any related coursework, especially related to secretarial work, law, or other organizational experience? </w:t>
      </w:r>
    </w:p>
    <w:p w:rsidR="00000000" w:rsidDel="00000000" w:rsidP="00000000" w:rsidRDefault="00000000" w:rsidRPr="00000000" w14:paraId="0000001A">
      <w:pPr>
        <w:spacing w:after="240" w:before="240" w:lineRule="auto"/>
        <w:rPr>
          <w:rFonts w:ascii="Lora" w:cs="Lora" w:eastAsia="Lora" w:hAnsi="Lora"/>
        </w:rPr>
      </w:pPr>
      <w:r w:rsidDel="00000000" w:rsidR="00000000" w:rsidRPr="00000000">
        <w:rPr>
          <w:rFonts w:ascii="Lora" w:cs="Lora" w:eastAsia="Lora" w:hAnsi="Lora"/>
          <w:rtl w:val="0"/>
        </w:rPr>
        <w:t xml:space="preserve">What other factors should we consider about you? (optional) </w:t>
      </w:r>
    </w:p>
    <w:p w:rsidR="00000000" w:rsidDel="00000000" w:rsidP="00000000" w:rsidRDefault="00000000" w:rsidRPr="00000000" w14:paraId="0000001B">
      <w:pPr>
        <w:spacing w:after="240" w:before="240" w:lineRule="auto"/>
        <w:rPr>
          <w:rFonts w:ascii="Lora" w:cs="Lora" w:eastAsia="Lora" w:hAnsi="Lora"/>
          <w:b w:val="1"/>
        </w:rPr>
      </w:pPr>
      <w:r w:rsidDel="00000000" w:rsidR="00000000" w:rsidRPr="00000000">
        <w:rPr>
          <w:rtl w:val="0"/>
        </w:rPr>
      </w:r>
    </w:p>
    <w:p w:rsidR="00000000" w:rsidDel="00000000" w:rsidP="00000000" w:rsidRDefault="00000000" w:rsidRPr="00000000" w14:paraId="0000001C">
      <w:pPr>
        <w:spacing w:after="240" w:before="240" w:lineRule="auto"/>
        <w:rPr>
          <w:rFonts w:ascii="Lora" w:cs="Lora" w:eastAsia="Lora" w:hAnsi="Lora"/>
        </w:rPr>
      </w:pPr>
      <w:r w:rsidDel="00000000" w:rsidR="00000000" w:rsidRPr="00000000">
        <w:rPr>
          <w:rFonts w:ascii="Lora" w:cs="Lora" w:eastAsia="Lora" w:hAnsi="Lora"/>
          <w:b w:val="1"/>
          <w:rtl w:val="0"/>
        </w:rPr>
        <w:t xml:space="preserve">3. How to Submit</w:t>
      </w:r>
      <w:r w:rsidDel="00000000" w:rsidR="00000000" w:rsidRPr="00000000">
        <w:rPr>
          <w:rtl w:val="0"/>
        </w:rPr>
      </w:r>
    </w:p>
    <w:p w:rsidR="00000000" w:rsidDel="00000000" w:rsidP="00000000" w:rsidRDefault="00000000" w:rsidRPr="00000000" w14:paraId="0000001D">
      <w:pPr>
        <w:widowControl w:val="0"/>
        <w:spacing w:before="7" w:line="240" w:lineRule="auto"/>
        <w:ind w:left="160" w:firstLine="0"/>
        <w:rPr/>
      </w:pPr>
      <w:r w:rsidDel="00000000" w:rsidR="00000000" w:rsidRPr="00000000">
        <w:rPr>
          <w:rFonts w:ascii="Lora" w:cs="Lora" w:eastAsia="Lora" w:hAnsi="Lora"/>
          <w:rtl w:val="0"/>
        </w:rPr>
        <w:t xml:space="preserve">Please email your application to the Chief Justice, JacksonClemons1@gmail.com with the subject line “TISC Clerk &amp; Marshall Application 2024”.</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center"/>
      <w:rPr/>
    </w:pPr>
    <w:r w:rsidDel="00000000" w:rsidR="00000000" w:rsidRPr="00000000">
      <w:rPr/>
      <w:drawing>
        <wp:inline distB="114300" distT="114300" distL="114300" distR="114300">
          <wp:extent cx="4733925" cy="1809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33925" cy="180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